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232" w:firstLineChars="5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卢沟桥乡</w:t>
      </w:r>
    </w:p>
    <w:p>
      <w:pPr>
        <w:ind w:firstLine="232" w:firstLineChars="5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“十三五”时期就业发展分规划</w:t>
      </w:r>
    </w:p>
    <w:p>
      <w:pPr>
        <w:widowControl/>
        <w:ind w:firstLine="1416"/>
        <w:jc w:val="center"/>
        <w:rPr>
          <w:rFonts w:ascii="方正小标宋简体" w:hAnsi="楷体" w:eastAsia="方正小标宋简体" w:cs="方正小标宋简体"/>
          <w:bCs/>
          <w:kern w:val="0"/>
          <w:sz w:val="36"/>
          <w:szCs w:val="32"/>
        </w:rPr>
      </w:pPr>
    </w:p>
    <w:p>
      <w:pPr>
        <w:widowControl/>
        <w:ind w:firstLine="1416"/>
        <w:jc w:val="center"/>
        <w:rPr>
          <w:rFonts w:ascii="仿宋_GB2312" w:eastAsia="仿宋_GB2312"/>
          <w:spacing w:val="-6"/>
          <w:sz w:val="32"/>
          <w:szCs w:val="32"/>
        </w:rPr>
      </w:pPr>
    </w:p>
    <w:p>
      <w:pPr>
        <w:widowControl/>
        <w:rPr>
          <w:rFonts w:ascii="仿宋_GB2312" w:eastAsia="仿宋_GB2312"/>
          <w:spacing w:val="-6"/>
          <w:sz w:val="32"/>
          <w:szCs w:val="32"/>
        </w:rPr>
      </w:pPr>
    </w:p>
    <w:p>
      <w:pPr>
        <w:widowControl/>
        <w:rPr>
          <w:rFonts w:ascii="仿宋_GB2312" w:eastAsia="仿宋_GB2312"/>
          <w:b/>
          <w:sz w:val="32"/>
          <w:szCs w:val="32"/>
        </w:rPr>
      </w:pPr>
    </w:p>
    <w:p>
      <w:pPr>
        <w:widowControl/>
        <w:rPr>
          <w:rFonts w:ascii="仿宋_GB2312" w:eastAsia="仿宋_GB2312"/>
          <w:b/>
          <w:sz w:val="32"/>
          <w:szCs w:val="32"/>
        </w:rPr>
      </w:pPr>
    </w:p>
    <w:p>
      <w:pPr>
        <w:widowControl/>
        <w:rPr>
          <w:rFonts w:ascii="仿宋_GB2312" w:eastAsia="仿宋_GB2312"/>
          <w:b/>
          <w:sz w:val="32"/>
          <w:szCs w:val="32"/>
        </w:rPr>
      </w:pPr>
    </w:p>
    <w:p>
      <w:pPr>
        <w:widowControl/>
        <w:rPr>
          <w:rFonts w:ascii="仿宋_GB2312" w:eastAsia="仿宋_GB2312"/>
          <w:b/>
          <w:sz w:val="32"/>
          <w:szCs w:val="32"/>
        </w:rPr>
      </w:pPr>
    </w:p>
    <w:p>
      <w:pPr>
        <w:widowControl/>
        <w:rPr>
          <w:rFonts w:ascii="仿宋_GB2312" w:eastAsia="仿宋_GB2312"/>
          <w:b/>
          <w:sz w:val="32"/>
          <w:szCs w:val="32"/>
        </w:rPr>
      </w:pPr>
    </w:p>
    <w:p>
      <w:pPr>
        <w:widowControl/>
        <w:rPr>
          <w:rFonts w:ascii="仿宋_GB2312" w:eastAsia="仿宋_GB2312"/>
          <w:b/>
          <w:sz w:val="32"/>
          <w:szCs w:val="32"/>
        </w:rPr>
      </w:pPr>
    </w:p>
    <w:p>
      <w:pPr>
        <w:widowControl/>
        <w:ind w:firstLine="2584" w:firstLineChars="850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北京市丰台区卢沟桥乡人民政府</w:t>
      </w:r>
    </w:p>
    <w:p>
      <w:pPr>
        <w:widowControl/>
        <w:ind w:firstLine="3779" w:firstLineChars="1243"/>
        <w:rPr>
          <w:rFonts w:ascii="黑体" w:hAnsi="黑体" w:eastAsia="黑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b/>
          <w:kern w:val="0"/>
          <w:sz w:val="32"/>
          <w:szCs w:val="32"/>
        </w:rPr>
        <w:t>二零一六年六月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黑体" w:hAnsi="黑体" w:eastAsia="黑体"/>
          <w:b/>
          <w:kern w:val="0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2098" w:right="1531" w:bottom="1985" w:left="1531" w:header="851" w:footer="992" w:gutter="0"/>
          <w:pgNumType w:fmt="numberInDash"/>
          <w:cols w:space="425" w:num="1"/>
          <w:docGrid w:type="linesAndChars" w:linePitch="290" w:charSpace="-3420"/>
        </w:sectPr>
      </w:pP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/>
        <w:contextualSpacing/>
        <w:jc w:val="center"/>
        <w:rPr>
          <w:rFonts w:ascii="仿宋_GB2312" w:hAnsi="Calibri" w:eastAsia="仿宋_GB2312" w:cs="Times New Roman"/>
          <w:sz w:val="28"/>
          <w:szCs w:val="28"/>
        </w:rPr>
      </w:pPr>
      <w:bookmarkStart w:id="0" w:name="_Toc419194377"/>
      <w:bookmarkStart w:id="1" w:name="_Toc423965576"/>
      <w:bookmarkStart w:id="2" w:name="_Toc446917606"/>
      <w:bookmarkStart w:id="3" w:name="_Toc443742891"/>
      <w:bookmarkStart w:id="4" w:name="_Toc415757320"/>
      <w:bookmarkStart w:id="5" w:name="_Toc432691188"/>
      <w:bookmarkStart w:id="6" w:name="_Toc449082352"/>
      <w:bookmarkStart w:id="7" w:name="_Toc416785151"/>
      <w:bookmarkStart w:id="8" w:name="_Toc443741599"/>
      <w:bookmarkStart w:id="9" w:name="_Toc429578211"/>
      <w:bookmarkStart w:id="10" w:name="_Toc417293582"/>
      <w:bookmarkStart w:id="11" w:name="_Toc417914734"/>
      <w:bookmarkStart w:id="12" w:name="_Toc432493568"/>
      <w:bookmarkStart w:id="13" w:name="_Toc415673503"/>
      <w:bookmarkStart w:id="14" w:name="_Toc415583341"/>
      <w:bookmarkStart w:id="15" w:name="_Toc415672990"/>
      <w:bookmarkStart w:id="16" w:name="_Toc415685624"/>
      <w:r>
        <w:rPr>
          <w:rFonts w:hint="eastAsia"/>
          <w:b w:val="0"/>
          <w:sz w:val="52"/>
          <w:szCs w:val="52"/>
          <w:lang w:val="zh-CN"/>
        </w:rPr>
        <w:t>目</w:t>
      </w:r>
      <w:r>
        <w:rPr>
          <w:b w:val="0"/>
          <w:sz w:val="52"/>
          <w:szCs w:val="52"/>
          <w:lang w:val="zh-CN"/>
        </w:rPr>
        <w:t xml:space="preserve"> </w:t>
      </w:r>
      <w:r>
        <w:rPr>
          <w:rFonts w:hint="eastAsia"/>
          <w:b w:val="0"/>
          <w:sz w:val="52"/>
          <w:szCs w:val="52"/>
          <w:lang w:val="zh-CN"/>
        </w:rPr>
        <w:t>录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TOC \o "1-3" \h \z \u </w:instrText>
      </w:r>
      <w:r>
        <w:rPr>
          <w:rFonts w:ascii="仿宋_GB2312" w:eastAsia="仿宋_GB2312"/>
          <w:sz w:val="28"/>
          <w:szCs w:val="28"/>
        </w:rPr>
        <w:fldChar w:fldCharType="separate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/>
        <w:contextualSpacing/>
        <w:rPr>
          <w:rFonts w:ascii="仿宋_GB2312" w:hAnsi="Calibri" w:eastAsia="仿宋_GB2312" w:cs="Times New Roman"/>
          <w:sz w:val="28"/>
          <w:szCs w:val="28"/>
        </w:rPr>
      </w:pP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/>
        <w:contextualSpacing/>
        <w:rPr>
          <w:rFonts w:ascii="仿宋_GB2312" w:hAnsi="Calibri" w:eastAsia="仿宋_GB2312"/>
          <w:b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sz w:val="28"/>
          <w:szCs w:val="28"/>
        </w:rPr>
        <w:t>一、“十二五”就业回顾</w:t>
      </w:r>
      <w:r>
        <w:fldChar w:fldCharType="begin"/>
      </w:r>
      <w:r>
        <w:instrText xml:space="preserve"> HYPERLINK \l "_Toc449082362" </w:instrText>
      </w:r>
      <w:r>
        <w:fldChar w:fldCharType="separate"/>
      </w:r>
      <w:r>
        <w:rPr>
          <w:rFonts w:ascii="仿宋_GB2312" w:hAnsi="Calibri" w:eastAsia="仿宋_GB2312"/>
          <w:b w:val="0"/>
          <w:sz w:val="28"/>
          <w:szCs w:val="28"/>
        </w:rPr>
        <w:tab/>
      </w:r>
      <w:r>
        <w:rPr>
          <w:rFonts w:ascii="仿宋_GB2312" w:hAnsi="Calibri" w:eastAsia="仿宋_GB2312"/>
          <w:b w:val="0"/>
          <w:sz w:val="28"/>
          <w:szCs w:val="28"/>
        </w:rPr>
        <w:t>1</w:t>
      </w:r>
      <w:r>
        <w:rPr>
          <w:rFonts w:ascii="仿宋_GB2312" w:hAnsi="Calibri" w:eastAsia="仿宋_GB2312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48" w:firstLineChars="200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"_Toc449082356"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（一）按期完成各项任务指标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1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48" w:firstLineChars="200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"_Toc449082357"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（二）建立和完善基层服务平台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1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48" w:firstLineChars="200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"_Toc449082358"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（三）城市化进程不断加快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1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48" w:firstLineChars="200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"_Toc449082359"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（四）争创充分就业村（社区）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1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48" w:firstLineChars="200"/>
        <w:contextualSpacing/>
        <w:rPr>
          <w:rFonts w:ascii="宋体" w:hAnsi="宋体" w:eastAsia="宋体"/>
          <w:b w:val="0"/>
          <w:sz w:val="21"/>
        </w:rPr>
      </w:pPr>
      <w:r>
        <w:fldChar w:fldCharType="begin"/>
      </w:r>
      <w:r>
        <w:instrText xml:space="preserve"> HYPERLINK \l "_Toc449082360"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（五）宣传促进就业政策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2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48" w:firstLineChars="200"/>
        <w:contextualSpacing/>
        <w:rPr>
          <w:rFonts w:ascii="宋体" w:hAnsi="宋体" w:eastAsia="宋体"/>
          <w:b w:val="0"/>
          <w:sz w:val="21"/>
        </w:rPr>
      </w:pPr>
      <w:r>
        <w:fldChar w:fldCharType="begin"/>
      </w:r>
      <w:r>
        <w:instrText xml:space="preserve"> HYPERLINK \l "_Toc449082360"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（六）强化廉政风险防控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2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259" w:firstLineChars="98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rPr>
          <w:rFonts w:hint="eastAsia" w:ascii="仿宋_GB2312" w:hAnsi="Calibri" w:eastAsia="仿宋_GB2312" w:cs="Times New Roman"/>
          <w:b w:val="0"/>
          <w:sz w:val="28"/>
          <w:szCs w:val="28"/>
        </w:rPr>
        <w:t>二、“十三五”期间就业工作面临机遇与挑战</w:t>
      </w:r>
      <w:r>
        <w:fldChar w:fldCharType="begin"/>
      </w:r>
      <w:r>
        <w:instrText xml:space="preserve"> HYPERLINK \l "_Toc449082362" </w:instrText>
      </w:r>
      <w:r>
        <w:fldChar w:fldCharType="separate"/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2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39" w:firstLineChars="196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"_Toc449082356"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（一）面临的机遇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2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906" w:firstLineChars="343"/>
        <w:contextualSpacing/>
        <w:rPr>
          <w:rFonts w:ascii="仿宋_GB2312" w:hAnsi="Calibri" w:eastAsia="仿宋_GB2312"/>
          <w:b w:val="0"/>
          <w:sz w:val="28"/>
          <w:szCs w:val="28"/>
        </w:rPr>
      </w:pPr>
      <w:r>
        <w:rPr>
          <w:rFonts w:ascii="仿宋_GB2312" w:hAnsi="Calibri" w:eastAsia="仿宋_GB2312"/>
          <w:b w:val="0"/>
          <w:sz w:val="28"/>
          <w:szCs w:val="28"/>
        </w:rPr>
        <w:t>1</w:t>
      </w:r>
      <w:r>
        <w:rPr>
          <w:rFonts w:hint="eastAsia" w:ascii="仿宋_GB2312" w:hAnsi="Calibri" w:eastAsia="仿宋_GB2312"/>
          <w:b w:val="0"/>
          <w:sz w:val="28"/>
          <w:szCs w:val="28"/>
        </w:rPr>
        <w:t>、京津冀协同发展带来的机遇</w:t>
      </w:r>
      <w:r>
        <w:fldChar w:fldCharType="begin"/>
      </w:r>
      <w:r>
        <w:instrText xml:space="preserve"> HYPERLINK \l "_Toc449082357" </w:instrText>
      </w:r>
      <w:r>
        <w:fldChar w:fldCharType="separate"/>
      </w:r>
      <w:r>
        <w:rPr>
          <w:rFonts w:ascii="仿宋_GB2312" w:hAnsi="Calibri" w:eastAsia="仿宋_GB2312"/>
          <w:b w:val="0"/>
          <w:sz w:val="28"/>
          <w:szCs w:val="28"/>
        </w:rPr>
        <w:tab/>
      </w:r>
      <w:r>
        <w:rPr>
          <w:rFonts w:ascii="仿宋_GB2312" w:hAnsi="Calibri" w:eastAsia="仿宋_GB2312"/>
          <w:b w:val="0"/>
          <w:sz w:val="28"/>
          <w:szCs w:val="28"/>
        </w:rPr>
        <w:t>2</w:t>
      </w:r>
      <w:r>
        <w:rPr>
          <w:rFonts w:ascii="仿宋_GB2312" w:hAnsi="Calibri" w:eastAsia="仿宋_GB2312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221" w:leftChars="114" w:right="0" w:rightChars="0" w:firstLine="647" w:firstLineChars="245"/>
        <w:contextualSpacing/>
        <w:rPr>
          <w:rFonts w:ascii="仿宋_GB2312" w:hAnsi="Calibri" w:eastAsia="仿宋_GB2312"/>
          <w:b w:val="0"/>
          <w:sz w:val="28"/>
          <w:szCs w:val="28"/>
        </w:rPr>
      </w:pPr>
      <w:r>
        <w:rPr>
          <w:rFonts w:ascii="仿宋_GB2312" w:hAnsi="Calibri" w:eastAsia="仿宋_GB2312"/>
          <w:b w:val="0"/>
          <w:sz w:val="28"/>
          <w:szCs w:val="28"/>
        </w:rPr>
        <w:t>2</w:t>
      </w:r>
      <w:r>
        <w:rPr>
          <w:rFonts w:hint="eastAsia" w:ascii="仿宋_GB2312" w:hAnsi="Calibri" w:eastAsia="仿宋_GB2312"/>
          <w:b w:val="0"/>
          <w:sz w:val="28"/>
          <w:szCs w:val="28"/>
        </w:rPr>
        <w:t>、丽泽商务区带来的机遇</w:t>
      </w:r>
      <w:r>
        <w:fldChar w:fldCharType="begin"/>
      </w:r>
      <w:r>
        <w:instrText xml:space="preserve"> HYPERLINK \l "_Toc449082357" </w:instrText>
      </w:r>
      <w:r>
        <w:fldChar w:fldCharType="separate"/>
      </w:r>
      <w:r>
        <w:rPr>
          <w:rFonts w:ascii="仿宋_GB2312" w:hAnsi="Calibri" w:eastAsia="仿宋_GB2312"/>
          <w:b w:val="0"/>
          <w:sz w:val="28"/>
          <w:szCs w:val="28"/>
        </w:rPr>
        <w:tab/>
      </w:r>
      <w:r>
        <w:rPr>
          <w:rFonts w:ascii="仿宋_GB2312" w:hAnsi="Calibri" w:eastAsia="仿宋_GB2312"/>
          <w:b w:val="0"/>
          <w:sz w:val="28"/>
          <w:szCs w:val="28"/>
        </w:rPr>
        <w:t>2</w:t>
      </w:r>
      <w:r>
        <w:rPr>
          <w:rFonts w:ascii="仿宋_GB2312" w:hAnsi="Calibri" w:eastAsia="仿宋_GB2312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39" w:firstLineChars="196"/>
        <w:contextualSpacing/>
        <w:rPr>
          <w:rFonts w:ascii="宋体" w:hAnsi="宋体" w:eastAsia="宋体"/>
          <w:b w:val="0"/>
          <w:sz w:val="21"/>
        </w:rPr>
      </w:pPr>
      <w:r>
        <w:fldChar w:fldCharType="begin"/>
      </w:r>
      <w:r>
        <w:instrText xml:space="preserve"> HYPERLINK \l "_Toc449082358"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（二）面临的挑战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3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906" w:firstLineChars="343"/>
        <w:contextualSpacing/>
        <w:rPr>
          <w:rFonts w:ascii="仿宋_GB2312" w:hAnsi="Calibri" w:eastAsia="仿宋_GB2312"/>
          <w:b w:val="0"/>
          <w:sz w:val="28"/>
          <w:szCs w:val="28"/>
        </w:rPr>
      </w:pPr>
      <w:r>
        <w:rPr>
          <w:rFonts w:ascii="仿宋_GB2312" w:hAnsi="Calibri" w:eastAsia="仿宋_GB2312"/>
          <w:b w:val="0"/>
          <w:sz w:val="28"/>
          <w:szCs w:val="28"/>
        </w:rPr>
        <w:t>1</w:t>
      </w:r>
      <w:r>
        <w:rPr>
          <w:rFonts w:hint="eastAsia" w:ascii="仿宋_GB2312" w:hAnsi="Calibri" w:eastAsia="仿宋_GB2312"/>
          <w:b w:val="0"/>
          <w:sz w:val="28"/>
          <w:szCs w:val="28"/>
        </w:rPr>
        <w:t>、就业岗位低端，就业观念陈旧</w:t>
      </w:r>
      <w:r>
        <w:fldChar w:fldCharType="begin"/>
      </w:r>
      <w:r>
        <w:instrText xml:space="preserve"> HYPERLINK \l "_Toc449082357" </w:instrText>
      </w:r>
      <w:r>
        <w:fldChar w:fldCharType="separate"/>
      </w:r>
      <w:r>
        <w:rPr>
          <w:rFonts w:ascii="仿宋_GB2312" w:hAnsi="Calibri" w:eastAsia="仿宋_GB2312"/>
          <w:b w:val="0"/>
          <w:sz w:val="28"/>
          <w:szCs w:val="28"/>
        </w:rPr>
        <w:tab/>
      </w:r>
      <w:r>
        <w:rPr>
          <w:rFonts w:ascii="仿宋_GB2312" w:hAnsi="Calibri" w:eastAsia="仿宋_GB2312"/>
          <w:b w:val="0"/>
          <w:sz w:val="28"/>
          <w:szCs w:val="28"/>
        </w:rPr>
        <w:t>3</w:t>
      </w:r>
      <w:r>
        <w:rPr>
          <w:rFonts w:ascii="仿宋_GB2312" w:hAnsi="Calibri" w:eastAsia="仿宋_GB2312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906" w:firstLineChars="343"/>
        <w:contextualSpacing/>
        <w:rPr>
          <w:rFonts w:ascii="仿宋_GB2312" w:hAnsi="Calibri" w:eastAsia="仿宋_GB2312"/>
          <w:b w:val="0"/>
          <w:sz w:val="28"/>
          <w:szCs w:val="28"/>
        </w:rPr>
      </w:pPr>
      <w:r>
        <w:rPr>
          <w:rFonts w:ascii="仿宋_GB2312" w:hAnsi="Calibri" w:eastAsia="仿宋_GB2312"/>
          <w:b w:val="0"/>
          <w:sz w:val="28"/>
          <w:szCs w:val="28"/>
        </w:rPr>
        <w:t>2</w:t>
      </w:r>
      <w:r>
        <w:rPr>
          <w:rFonts w:hint="eastAsia" w:ascii="仿宋_GB2312" w:hAnsi="Calibri" w:eastAsia="仿宋_GB2312"/>
          <w:b w:val="0"/>
          <w:sz w:val="28"/>
          <w:szCs w:val="28"/>
        </w:rPr>
        <w:t>、缺乏就业竞争力，就业动力不足</w:t>
      </w:r>
      <w:r>
        <w:fldChar w:fldCharType="begin"/>
      </w:r>
      <w:r>
        <w:instrText xml:space="preserve"> HYPERLINK \l "_Toc449082357" </w:instrText>
      </w:r>
      <w:r>
        <w:fldChar w:fldCharType="separate"/>
      </w:r>
      <w:r>
        <w:rPr>
          <w:rFonts w:ascii="仿宋_GB2312" w:hAnsi="Calibri" w:eastAsia="仿宋_GB2312"/>
          <w:b w:val="0"/>
          <w:sz w:val="28"/>
          <w:szCs w:val="28"/>
        </w:rPr>
        <w:tab/>
      </w:r>
      <w:r>
        <w:rPr>
          <w:rFonts w:ascii="仿宋_GB2312" w:hAnsi="Calibri" w:eastAsia="仿宋_GB2312"/>
          <w:b w:val="0"/>
          <w:sz w:val="28"/>
          <w:szCs w:val="28"/>
        </w:rPr>
        <w:t>3</w:t>
      </w:r>
      <w:r>
        <w:rPr>
          <w:rFonts w:ascii="仿宋_GB2312" w:hAnsi="Calibri" w:eastAsia="仿宋_GB2312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259" w:firstLineChars="98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rPr>
          <w:rFonts w:hint="eastAsia" w:ascii="仿宋_GB2312" w:hAnsi="Calibri" w:eastAsia="仿宋_GB2312" w:cs="Times New Roman"/>
          <w:b w:val="0"/>
          <w:sz w:val="28"/>
          <w:szCs w:val="28"/>
        </w:rPr>
        <w:t>三、“十三五”期间指导思想和工作目标</w:t>
      </w:r>
      <w:r>
        <w:fldChar w:fldCharType="begin"/>
      </w:r>
      <w:r>
        <w:instrText xml:space="preserve"> HYPERLINK \l "_Toc449082362" </w:instrText>
      </w:r>
      <w:r>
        <w:fldChar w:fldCharType="separate"/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3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259" w:firstLineChars="98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rPr>
          <w:rFonts w:hint="eastAsia" w:ascii="仿宋_GB2312" w:hAnsi="Calibri" w:eastAsia="仿宋_GB2312" w:cs="Times New Roman"/>
          <w:b w:val="0"/>
          <w:sz w:val="28"/>
          <w:szCs w:val="28"/>
        </w:rPr>
        <w:t>四、“十三五”期间就业规划重点任务</w:t>
      </w:r>
      <w:r>
        <w:fldChar w:fldCharType="begin"/>
      </w:r>
      <w:r>
        <w:instrText xml:space="preserve"> HYPERLINK \l "_Toc449082362" </w:instrText>
      </w:r>
      <w:r>
        <w:fldChar w:fldCharType="separate"/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5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39" w:firstLineChars="196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"_Toc449082359"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（一）积极发展产业项目，以产业带动就业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5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39" w:firstLineChars="196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"_Toc449082360"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（二）加快推进城市化进程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5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39" w:firstLineChars="196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"_Toc449082360"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（三）促进农村劳动力充分就业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5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39" w:firstLineChars="196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"_Toc449082360"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（四）引导大学生回村就业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6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259" w:firstLineChars="98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rPr>
          <w:rFonts w:hint="eastAsia" w:ascii="仿宋_GB2312" w:hAnsi="Calibri" w:eastAsia="仿宋_GB2312" w:cs="Times New Roman"/>
          <w:b w:val="0"/>
          <w:sz w:val="28"/>
          <w:szCs w:val="28"/>
        </w:rPr>
        <w:t>五、“十三五”就业规划实施保障</w:t>
      </w:r>
      <w:r>
        <w:fldChar w:fldCharType="begin"/>
      </w:r>
      <w:r>
        <w:instrText xml:space="preserve"> HYPERLINK \l "_Toc449082362" </w:instrText>
      </w:r>
      <w:r>
        <w:fldChar w:fldCharType="separate"/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6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39" w:firstLineChars="196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"_Toc449082356"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（一）加强公共平台建设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6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39" w:firstLineChars="196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"_Toc449082357"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（二）加强队伍能力建设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6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39" w:firstLineChars="196"/>
        <w:contextualSpacing/>
        <w:rPr>
          <w:rFonts w:ascii="宋体" w:hAnsi="宋体" w:eastAsia="宋体"/>
          <w:b w:val="0"/>
          <w:sz w:val="21"/>
        </w:rPr>
      </w:pPr>
      <w:r>
        <w:fldChar w:fldCharType="begin"/>
      </w:r>
      <w:r>
        <w:instrText xml:space="preserve"> HYPERLINK \l "_Toc449082358"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（三）制定促进就业政策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7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pStyle w:val="7"/>
        <w:tabs>
          <w:tab w:val="right" w:leader="dot" w:pos="8494"/>
          <w:tab w:val="clear" w:pos="8268"/>
        </w:tabs>
        <w:spacing w:line="240" w:lineRule="auto"/>
        <w:ind w:left="0" w:leftChars="0" w:right="0" w:rightChars="0" w:firstLine="439" w:firstLineChars="196"/>
        <w:contextualSpacing/>
        <w:rPr>
          <w:rFonts w:ascii="仿宋_GB2312" w:hAnsi="Calibri" w:eastAsia="仿宋_GB2312" w:cs="Times New Roman"/>
          <w:b w:val="0"/>
          <w:sz w:val="28"/>
          <w:szCs w:val="28"/>
        </w:rPr>
      </w:pPr>
      <w:r>
        <w:fldChar w:fldCharType="begin"/>
      </w:r>
      <w:r>
        <w:instrText xml:space="preserve"> HYPERLINK \l "_Toc449082358" </w:instrText>
      </w:r>
      <w:r>
        <w:fldChar w:fldCharType="separate"/>
      </w:r>
      <w:r>
        <w:rPr>
          <w:rFonts w:hint="eastAsia" w:ascii="仿宋_GB2312" w:hAnsi="Calibri" w:eastAsia="仿宋_GB2312"/>
          <w:b w:val="0"/>
          <w:sz w:val="28"/>
          <w:szCs w:val="28"/>
        </w:rPr>
        <w:t>（四）加强廉政风险防控</w:t>
      </w:r>
      <w:r>
        <w:rPr>
          <w:rFonts w:ascii="仿宋_GB2312" w:hAnsi="Calibri" w:eastAsia="仿宋_GB2312" w:cs="Times New Roman"/>
          <w:b w:val="0"/>
          <w:sz w:val="28"/>
          <w:szCs w:val="28"/>
        </w:rPr>
        <w:tab/>
      </w:r>
      <w:r>
        <w:rPr>
          <w:rFonts w:ascii="仿宋_GB2312" w:hAnsi="Calibri" w:eastAsia="仿宋_GB2312" w:cs="Times New Roman"/>
          <w:b w:val="0"/>
          <w:sz w:val="28"/>
          <w:szCs w:val="28"/>
        </w:rPr>
        <w:t>7</w:t>
      </w:r>
      <w:r>
        <w:rPr>
          <w:rFonts w:ascii="仿宋_GB2312" w:hAnsi="Calibri" w:eastAsia="仿宋_GB2312" w:cs="Times New Roman"/>
          <w:b w:val="0"/>
          <w:sz w:val="28"/>
          <w:szCs w:val="28"/>
        </w:rPr>
        <w:fldChar w:fldCharType="end"/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仿宋_GB2312" w:hAnsi="Times New Roman" w:eastAsia="仿宋_GB2312" w:cs="Times New Roman"/>
          <w:sz w:val="28"/>
          <w:szCs w:val="28"/>
        </w:rPr>
        <w:t xml:space="preserve"> </w:t>
      </w: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  <w:sectPr>
          <w:footerReference r:id="rId5" w:type="default"/>
          <w:pgSz w:w="11906" w:h="16838"/>
          <w:pgMar w:top="1701" w:right="1418" w:bottom="1418" w:left="1418" w:header="851" w:footer="992" w:gutter="0"/>
          <w:pgNumType w:fmt="upperRoman" w:start="1"/>
          <w:cols w:space="425" w:num="1"/>
          <w:docGrid w:type="linesAndChars" w:linePitch="290" w:charSpace="-3420"/>
        </w:sectPr>
      </w:pPr>
    </w:p>
    <w:p>
      <w:pPr>
        <w:rPr>
          <w:b/>
          <w:sz w:val="44"/>
          <w:szCs w:val="44"/>
        </w:rPr>
      </w:pPr>
    </w:p>
    <w:p>
      <w:pPr>
        <w:ind w:firstLine="723" w:firstLineChars="200"/>
        <w:outlineLvl w:val="0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一、“十二五”就业工作回顾</w:t>
      </w:r>
    </w:p>
    <w:p>
      <w:pPr>
        <w:ind w:firstLine="600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color w:val="000000"/>
          <w:sz w:val="30"/>
          <w:szCs w:val="30"/>
        </w:rPr>
        <w:t>“十二五”期间，卢沟桥乡政府就业工作在乡党委的领导下，在基层各服务站的共同努下取得以下工作成绩：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（一）按期完成各项任务指标。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实现失业人员就业</w:t>
      </w:r>
      <w:r>
        <w:rPr>
          <w:rFonts w:ascii="仿宋_GB2312" w:hAnsi="Calibri" w:eastAsia="仿宋_GB2312"/>
          <w:color w:val="000000"/>
          <w:sz w:val="30"/>
          <w:szCs w:val="30"/>
        </w:rPr>
        <w:t>7546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人；组织失业人员技能培训</w:t>
      </w:r>
      <w:r>
        <w:rPr>
          <w:rFonts w:ascii="仿宋_GB2312" w:hAnsi="Calibri" w:eastAsia="仿宋_GB2312"/>
          <w:color w:val="000000"/>
          <w:sz w:val="30"/>
          <w:szCs w:val="30"/>
        </w:rPr>
        <w:t>2270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人；采集空岗信息</w:t>
      </w:r>
      <w:r>
        <w:rPr>
          <w:rFonts w:ascii="仿宋_GB2312" w:hAnsi="Calibri" w:eastAsia="仿宋_GB2312"/>
          <w:color w:val="000000"/>
          <w:sz w:val="30"/>
          <w:szCs w:val="30"/>
        </w:rPr>
        <w:t>9200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个，发放小额贷款</w:t>
      </w:r>
      <w:r>
        <w:rPr>
          <w:rFonts w:ascii="仿宋_GB2312" w:hAnsi="Calibri" w:eastAsia="仿宋_GB2312"/>
          <w:color w:val="000000"/>
          <w:sz w:val="30"/>
          <w:szCs w:val="30"/>
        </w:rPr>
        <w:t>2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笔；新建转居档案</w:t>
      </w:r>
      <w:r>
        <w:rPr>
          <w:rFonts w:ascii="仿宋_GB2312" w:hAnsi="Calibri" w:eastAsia="仿宋_GB2312"/>
          <w:color w:val="000000"/>
          <w:sz w:val="30"/>
          <w:szCs w:val="30"/>
        </w:rPr>
        <w:t>7000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个；按时完成就业失业证换证工作，办理就业失业登记</w:t>
      </w:r>
      <w:r>
        <w:rPr>
          <w:rFonts w:ascii="仿宋_GB2312" w:hAnsi="Calibri" w:eastAsia="仿宋_GB2312"/>
          <w:color w:val="000000"/>
          <w:sz w:val="30"/>
          <w:szCs w:val="30"/>
        </w:rPr>
        <w:t>8637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人。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（二）建立和完善基层服务平台。</w:t>
      </w:r>
      <w:r>
        <w:rPr>
          <w:rFonts w:ascii="仿宋_GB2312" w:hAnsi="Calibri" w:eastAsia="仿宋_GB2312"/>
          <w:color w:val="000000"/>
          <w:sz w:val="30"/>
          <w:szCs w:val="30"/>
        </w:rPr>
        <w:t>20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个村（社区）建立起劳动就业社会保障服务站，明确了</w:t>
      </w:r>
      <w:r>
        <w:rPr>
          <w:rFonts w:ascii="仿宋_GB2312" w:hAnsi="Calibri" w:eastAsia="仿宋_GB2312"/>
          <w:color w:val="000000"/>
          <w:sz w:val="30"/>
          <w:szCs w:val="30"/>
        </w:rPr>
        <w:t>20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个基层就业专职人员和</w:t>
      </w:r>
      <w:r>
        <w:rPr>
          <w:rFonts w:ascii="仿宋_GB2312" w:hAnsi="Calibri" w:eastAsia="仿宋_GB2312"/>
          <w:color w:val="000000"/>
          <w:sz w:val="30"/>
          <w:szCs w:val="30"/>
        </w:rPr>
        <w:t>6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个社保所就业专职人员，有效的提高了就业工作的工作效率，更加方便了百姓就近办事，提高服务质量。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（三）城市化进程不断加快。</w:t>
      </w:r>
      <w:r>
        <w:rPr>
          <w:rFonts w:ascii="仿宋_GB2312" w:hAnsi="Calibri" w:eastAsia="仿宋_GB2312"/>
          <w:color w:val="000000"/>
          <w:sz w:val="30"/>
          <w:szCs w:val="30"/>
        </w:rPr>
        <w:t>7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个村完成转居工作，其中</w:t>
      </w:r>
      <w:r>
        <w:rPr>
          <w:rFonts w:ascii="仿宋_GB2312" w:hAnsi="Calibri" w:eastAsia="仿宋_GB2312"/>
          <w:color w:val="000000"/>
          <w:sz w:val="30"/>
          <w:szCs w:val="30"/>
        </w:rPr>
        <w:t>1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个村已撤村建立社区。共计转居</w:t>
      </w:r>
      <w:r>
        <w:rPr>
          <w:rFonts w:ascii="仿宋_GB2312" w:hAnsi="Calibri" w:eastAsia="仿宋_GB2312"/>
          <w:color w:val="000000"/>
          <w:sz w:val="30"/>
          <w:szCs w:val="30"/>
        </w:rPr>
        <w:t>12348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人，其中劳动力</w:t>
      </w:r>
      <w:r>
        <w:rPr>
          <w:rFonts w:ascii="仿宋_GB2312" w:hAnsi="Calibri" w:eastAsia="仿宋_GB2312"/>
          <w:color w:val="000000"/>
          <w:sz w:val="30"/>
          <w:szCs w:val="30"/>
        </w:rPr>
        <w:t>8696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人。完成劳动力建档</w:t>
      </w:r>
      <w:r>
        <w:rPr>
          <w:rFonts w:ascii="仿宋_GB2312" w:hAnsi="Calibri" w:eastAsia="仿宋_GB2312"/>
          <w:color w:val="000000"/>
          <w:sz w:val="30"/>
          <w:szCs w:val="30"/>
        </w:rPr>
        <w:t>7000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人。在转居过程中，坚持“转居前政策培训、转居中业务指导、转居后规范就业”的工作思路，督促检查转居安置后签合同上保险情况。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（四）争创充分就业村（社区）。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集体经济组织做为就业安置的主体，通过争创充分就业村，引导村集体出台就业政策，挖掘工作岗位，安置劳动力就业，</w:t>
      </w:r>
      <w:r>
        <w:rPr>
          <w:rFonts w:ascii="仿宋_GB2312" w:hAnsi="Calibri" w:eastAsia="仿宋_GB2312"/>
          <w:color w:val="000000"/>
          <w:sz w:val="30"/>
          <w:szCs w:val="30"/>
        </w:rPr>
        <w:t>2014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年全乡</w:t>
      </w:r>
      <w:r>
        <w:rPr>
          <w:rFonts w:ascii="仿宋_GB2312" w:hAnsi="Calibri" w:eastAsia="仿宋_GB2312"/>
          <w:color w:val="000000"/>
          <w:sz w:val="30"/>
          <w:szCs w:val="30"/>
        </w:rPr>
        <w:t>20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个被评为充分就业村。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ascii="楷体_GB2312" w:eastAsia="楷体_GB2312"/>
          <w:b/>
          <w:kern w:val="0"/>
          <w:sz w:val="30"/>
          <w:szCs w:val="30"/>
        </w:rPr>
        <w:t>(</w:t>
      </w:r>
      <w:r>
        <w:rPr>
          <w:rFonts w:hint="eastAsia" w:ascii="楷体_GB2312" w:eastAsia="楷体_GB2312"/>
          <w:b/>
          <w:kern w:val="0"/>
          <w:sz w:val="30"/>
          <w:szCs w:val="30"/>
        </w:rPr>
        <w:t>五</w:t>
      </w:r>
      <w:r>
        <w:rPr>
          <w:rFonts w:ascii="楷体_GB2312" w:eastAsia="楷体_GB2312"/>
          <w:b/>
          <w:kern w:val="0"/>
          <w:sz w:val="30"/>
          <w:szCs w:val="30"/>
        </w:rPr>
        <w:t>)</w:t>
      </w:r>
      <w:r>
        <w:rPr>
          <w:rFonts w:hint="eastAsia" w:ascii="楷体_GB2312" w:eastAsia="楷体_GB2312"/>
          <w:b/>
          <w:kern w:val="0"/>
          <w:sz w:val="30"/>
          <w:szCs w:val="30"/>
        </w:rPr>
        <w:t>宣传促进就业政策。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每年召开村服务站工作人员培训会，印制《服务手册》、建立微信平台、办公内网、</w:t>
      </w:r>
      <w:r>
        <w:rPr>
          <w:rFonts w:ascii="仿宋_GB2312" w:hAnsi="Calibri" w:eastAsia="仿宋_GB2312"/>
          <w:color w:val="000000"/>
          <w:sz w:val="30"/>
          <w:szCs w:val="30"/>
        </w:rPr>
        <w:t>QQ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群宣传政策，结合城市化进程，采取“走出去学习，请进来讲课的方式”学习业务，做好群众的咨询解释工作。同时对积极享受政策的单位进行推广和经验介绍。享受灵活就业保险补贴、社补岗补、转移就业补助、小额贴息贷款、个体经营奖励等优惠政策达</w:t>
      </w:r>
      <w:r>
        <w:rPr>
          <w:rFonts w:ascii="仿宋_GB2312" w:hAnsi="Calibri" w:eastAsia="仿宋_GB2312"/>
          <w:color w:val="000000"/>
          <w:sz w:val="30"/>
          <w:szCs w:val="30"/>
        </w:rPr>
        <w:t>800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人</w:t>
      </w:r>
      <w:r>
        <w:rPr>
          <w:rFonts w:ascii="仿宋_GB2312" w:hAnsi="Calibri" w:eastAsia="仿宋_GB2312"/>
          <w:color w:val="000000"/>
          <w:sz w:val="30"/>
          <w:szCs w:val="30"/>
        </w:rPr>
        <w:t>/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次，补贴资金</w:t>
      </w:r>
      <w:r>
        <w:rPr>
          <w:rFonts w:ascii="仿宋_GB2312" w:hAnsi="Calibri" w:eastAsia="仿宋_GB2312"/>
          <w:color w:val="000000"/>
          <w:sz w:val="30"/>
          <w:szCs w:val="30"/>
        </w:rPr>
        <w:t>1500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万余元。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（六）强化廉政风险防控。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将社保所业务经办流程进行梳理，查找风险点，明确工作职责和工作目标，有效的预防风险发生。</w:t>
      </w:r>
    </w:p>
    <w:p>
      <w:pPr>
        <w:ind w:firstLine="723" w:firstLineChars="200"/>
        <w:outlineLvl w:val="0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二、“十三五”期间就业工作面临机遇与挑战</w:t>
      </w:r>
    </w:p>
    <w:p>
      <w:pPr>
        <w:ind w:firstLine="602" w:firstLineChars="200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（一）面临的机遇</w:t>
      </w:r>
    </w:p>
    <w:p>
      <w:pPr>
        <w:ind w:firstLine="602" w:firstLineChars="200"/>
        <w:rPr>
          <w:rFonts w:ascii="仿宋_GB2312" w:hAnsi="黑体" w:eastAsia="仿宋_GB2312"/>
          <w:color w:val="000000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、京津冀协同发展带来的机遇。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伴随《京津冀协同发展纲要》的发布，卢沟桥乡作为城六区向外疏解的重要功能节点区域，核心区内的高端人才、创新产业、优质资源、优质企业向乡域集聚。对卢沟桥乡优化产业结构、调整功能布局的带来重大机遇，同时也为劳动力就业带来更多的机遇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2</w:t>
      </w:r>
      <w:r>
        <w:rPr>
          <w:rFonts w:hint="eastAsia" w:ascii="仿宋_GB2312" w:eastAsia="仿宋_GB2312"/>
          <w:b/>
          <w:sz w:val="30"/>
          <w:szCs w:val="30"/>
        </w:rPr>
        <w:t>、丽泽商务区带来的机遇。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丽泽金融商务区建设为乡域城市化建设和产业发展搭建了平台。“十三五”时期，北京市、丰台区将基本完成北京丽泽金融商务区的主体规划建设，引导高端优质产业资源、要素集聚，培育引进文化金融、金融信息、金融租赁等新兴金融产业集聚发展，着力打造成为成熟的高端金融商务区。卢沟桥乡要牢牢把握这一战略机遇，坚持“融入丽泽、服务丽泽”的理念，借助丽泽金融商务区这一平台，从集体企业转型、新建楼宇定位、就业资源集聚、服务设施配套等各个方面，加强对丽泽金融商务区的配套，加速推动乡域产业结构向中高端优化转型。</w:t>
      </w:r>
    </w:p>
    <w:p>
      <w:pPr>
        <w:ind w:firstLine="602" w:firstLineChars="200"/>
        <w:rPr>
          <w:rFonts w:ascii="楷体_GB2312" w:eastAsia="楷体_GB2312"/>
          <w:b/>
          <w:kern w:val="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（二）面临的挑战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、就业岗位低端，就业观念陈旧。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随着绿化隔离带地区建设和城市化进程的推进，原有企业被迫关、停、并、转，就业空间多处于维持、饱和状态，为维护一方稳定，农村劳动力主要安置在物业、保结、绿化、联防（简称：四队），无力再提供更多的就业岗位。劳动力自主就业意识薄弱，完全依赖于集体经济安置就业，愿意从事就业压力小，劳动强度小，劳动成本低的工作，不愿参与社会市场竞争，体现个人价值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2</w:t>
      </w:r>
      <w:r>
        <w:rPr>
          <w:rFonts w:hint="eastAsia" w:ascii="仿宋_GB2312" w:eastAsia="仿宋_GB2312"/>
          <w:b/>
          <w:sz w:val="30"/>
          <w:szCs w:val="30"/>
        </w:rPr>
        <w:t>、缺乏就业竞争力，就业动力不足。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劳动力技能单一，年龄大，文化低的人员占绝大部分，且不愿意从事劳动强度较大的脏活、苦活、累活，影响了外出转移就业。就业困难人员回流压力较大。现各村集体的社会保障和福利待遇优厚，再加上一些租房收入，完全可以满足其家庭需求，因此就业愿望不强。</w:t>
      </w:r>
    </w:p>
    <w:p>
      <w:pPr>
        <w:ind w:firstLine="723" w:firstLineChars="200"/>
        <w:outlineLvl w:val="0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三、“十三五”期间指导思想和工作目标</w:t>
      </w:r>
    </w:p>
    <w:p>
      <w:pPr>
        <w:ind w:firstLine="600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color w:val="000000"/>
          <w:sz w:val="30"/>
          <w:szCs w:val="30"/>
        </w:rPr>
        <w:t>深入贯彻党的十八大、十八届三中、四中全会精神，以及习近平总书记系列</w:t>
      </w:r>
      <w:r>
        <w:rPr>
          <w:rFonts w:hint="eastAsia" w:ascii="仿宋_GB2312" w:hAnsi="Calibri" w:eastAsia="仿宋_GB2312"/>
          <w:color w:val="000000"/>
          <w:sz w:val="30"/>
          <w:szCs w:val="30"/>
          <w:lang w:eastAsia="zh-CN"/>
        </w:rPr>
        <w:t>重要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讲话精神，认真落实区委、区政府和区人力社保局工作部署，主动把握和积极适应经济发展新常态，坚持落实就业与创业并重、政策与培训并举，坚持政策均等化、培训针对化、就业组织化、社保城镇化、创业引领化的工作思路，以劳动力充分就业为重点，以创业带动就业为动力，以提高</w:t>
      </w:r>
      <w:bookmarkStart w:id="17" w:name="_GoBack"/>
      <w:bookmarkEnd w:id="17"/>
      <w:r>
        <w:rPr>
          <w:rFonts w:hint="eastAsia" w:ascii="仿宋_GB2312" w:hAnsi="Calibri" w:eastAsia="仿宋_GB2312"/>
          <w:color w:val="000000"/>
          <w:sz w:val="30"/>
          <w:szCs w:val="30"/>
        </w:rPr>
        <w:t>劳动者素质为抓手，以拓宽就业渠道为保障，以夯实公共就业服务平台为基础，让劳动者通过更加稳定的就业、更高质量的就业，过上更幸福的生活。主要工作目标：</w:t>
      </w:r>
    </w:p>
    <w:p>
      <w:pPr>
        <w:ind w:firstLine="600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color w:val="000000"/>
          <w:sz w:val="30"/>
          <w:szCs w:val="30"/>
        </w:rPr>
        <w:t>一是保持充分就业态势，争创市区级充分就业乡，城乡登记失业率控制在</w:t>
      </w:r>
      <w:r>
        <w:rPr>
          <w:rFonts w:ascii="仿宋_GB2312" w:hAnsi="Calibri" w:eastAsia="仿宋_GB2312"/>
          <w:color w:val="000000"/>
          <w:sz w:val="30"/>
          <w:szCs w:val="30"/>
        </w:rPr>
        <w:t>3.6%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以内。</w:t>
      </w:r>
    </w:p>
    <w:p>
      <w:pPr>
        <w:ind w:firstLine="600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color w:val="000000"/>
          <w:sz w:val="30"/>
          <w:szCs w:val="30"/>
        </w:rPr>
        <w:t>二是继续加强组织失业人员技能培训，提供职业指导职业介绍服务，技能培训</w:t>
      </w:r>
      <w:r>
        <w:rPr>
          <w:rFonts w:ascii="仿宋_GB2312" w:hAnsi="Calibri" w:eastAsia="仿宋_GB2312"/>
          <w:color w:val="000000"/>
          <w:sz w:val="30"/>
          <w:szCs w:val="30"/>
        </w:rPr>
        <w:t>1000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人。</w:t>
      </w:r>
    </w:p>
    <w:p>
      <w:pPr>
        <w:ind w:firstLine="600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color w:val="000000"/>
          <w:sz w:val="30"/>
          <w:szCs w:val="30"/>
        </w:rPr>
        <w:t>三是加强就业困难人员的就业帮扶，实现失业人员就业</w:t>
      </w:r>
      <w:r>
        <w:rPr>
          <w:rFonts w:ascii="仿宋_GB2312" w:hAnsi="Calibri" w:eastAsia="仿宋_GB2312"/>
          <w:color w:val="000000"/>
          <w:sz w:val="30"/>
          <w:szCs w:val="30"/>
        </w:rPr>
        <w:t>1500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人。</w:t>
      </w:r>
    </w:p>
    <w:p>
      <w:pPr>
        <w:ind w:firstLine="600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color w:val="000000"/>
          <w:sz w:val="30"/>
          <w:szCs w:val="30"/>
        </w:rPr>
        <w:t>四是加强乡域内企业用工单位走访，采集空岗信息</w:t>
      </w:r>
      <w:r>
        <w:rPr>
          <w:rFonts w:ascii="仿宋_GB2312" w:hAnsi="Calibri" w:eastAsia="仿宋_GB2312"/>
          <w:color w:val="000000"/>
          <w:sz w:val="30"/>
          <w:szCs w:val="30"/>
        </w:rPr>
        <w:t>5000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个，满足外出就业需求。</w:t>
      </w:r>
    </w:p>
    <w:p>
      <w:pPr>
        <w:ind w:firstLine="600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color w:val="000000"/>
          <w:sz w:val="30"/>
          <w:szCs w:val="30"/>
        </w:rPr>
        <w:t>五是加强政策引导，促进本乡域内大学生回村就业和自主创业，培育后备人才。</w:t>
      </w:r>
    </w:p>
    <w:p>
      <w:pPr>
        <w:ind w:firstLine="600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color w:val="000000"/>
          <w:sz w:val="30"/>
          <w:szCs w:val="30"/>
        </w:rPr>
        <w:t>六是加强公益性就业组织建设与管理，开发公益性就业岗位，托底安置就业困难人员实现就业。</w:t>
      </w:r>
    </w:p>
    <w:p>
      <w:pPr>
        <w:ind w:firstLine="600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仿宋_GB2312" w:hAnsi="Calibri" w:eastAsia="仿宋_GB2312"/>
          <w:color w:val="000000"/>
          <w:sz w:val="30"/>
          <w:szCs w:val="30"/>
        </w:rPr>
        <w:t>七是加快推进城市化进程，不断推进劳动力社会保障待遇。</w:t>
      </w:r>
    </w:p>
    <w:p>
      <w:pPr>
        <w:ind w:firstLine="723" w:firstLineChars="200"/>
        <w:outlineLvl w:val="0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四、“十三五”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就业规划重点任务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（一）积极发展产业项目，以产业带动就业。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通过对产业就业需求评估，坚持经济建设项目与就业需求预测同时进行，经济建设项目与安置劳动力就业同时进行，经济建设项目运行与提供就业服务同时进行，即促进就业“三同时”制度。加强部门联动机制，明确职责，做好产业项目全程跟踪服务，提前做好人力资源的储备和培养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（二）加快推进城市化进程。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积极推进转居工作的宣传指导，在转身份的同时，转变就业观念，规范劳动力就业。按照成熟一个，推进一个的原则，通过整建制转居、土地上市、棚户区改造等途径，加快推进未转居村转居工作的业务指导。对不具备转居条件的行政村，积极宣传促进就业政策，引导村民参保向城镇化转移，提高村民工资收入和社保待遇。</w:t>
      </w:r>
    </w:p>
    <w:p>
      <w:pPr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（三）促进农村劳动力充分就业。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继续保持</w:t>
      </w:r>
      <w:r>
        <w:rPr>
          <w:rFonts w:ascii="仿宋_GB2312" w:hAnsi="Calibri" w:eastAsia="仿宋_GB2312"/>
          <w:color w:val="000000"/>
          <w:sz w:val="30"/>
          <w:szCs w:val="30"/>
        </w:rPr>
        <w:t>20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个村充分就业村的态势，积极争创充分就业乡镇。结合各村（社区）不同情况，按照人岗供需条件，制定村促进就业政策，争创充分就业乡（村）。积极推进四队转制就业，提高村民就业收入和相关待遇，村安置一批劳动力就业。转变农村劳动力就业观念，实现市场就业，转移一批劳动力就业。充分利用公益性就业组织，开发公益性岗位，托底安置一批就业困难人员实现就业。对用人单位精细化服务，挖掘一批就业岗位。调动劳动就业积极性，自谋灵活安置一批。制定《卢沟桥乡新形势下的创业工作意见》，营造创业氛围，扶持和培育创业项目，带动一批劳动力就业。积极开展定单式培训和岗前培训，有目标、有方向、有计划的开展失业人员培训工作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（四）引导大学生回村就业。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按照“自有资源为我所用，剩余资源乡内流动”的原则，提高人才储备的意识，积极培育人才后备力量。以政府引导，村集体实施的方式，通过工资市场化、保险城镇化、管理企业化的模式解决大学生回村的后顾之忧，调动大学生回村就业的积极性，增强村集体发展动力。</w:t>
      </w:r>
    </w:p>
    <w:p>
      <w:pPr>
        <w:ind w:firstLine="723" w:firstLineChars="200"/>
        <w:outlineLvl w:val="0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五、“十三五”就业规划实施保障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（一）加强公共平台建设。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加强社保所和村级劳动就业服务站建设，按照《社保所星级评估标准》和《丰台区村劳动就业社会保障服务站评估指标及标准》，强化设施建设和信息化水平，加强组织领导，为群众提供规范、便捷、高效的公共服务。拓宽政策宣传渠道，宣传促进就业政策、岗位信息、法律法规，提高劳动力知晓率，维护劳动力合法权益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（二）加强队伍能力建设。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随着城市化进程加快，及时调整工作思路，应对不断增加的业务需求，强化业务培训，普及和拓展工作人员业务知识，提升工作人员素质，规范服务行为，提高处理问题和解决问题的能力。充分发挥基层服务站作用，做好下沉业务指导和落实工作，简化办事程序，方便群众办事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（三）制定促进就业政策。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以深入调查研究为前提，掌握不同群体的就业需求，加大政府投入力度，制定就业相关扶持政策，调动劳动力就业积极性，提高和规范就业质量。出台《卢沟桥乡促进就业奖励办法》和《卢沟桥乡新常态下创业工作指导意见》，营造“大众创业、万众创新”氛围，扶持乡域青年和大学生创业，积极培育创业品牌。</w:t>
      </w:r>
    </w:p>
    <w:p>
      <w:pPr>
        <w:ind w:firstLine="602" w:firstLineChars="200"/>
        <w:rPr>
          <w:rFonts w:ascii="仿宋_GB2312" w:hAnsi="Calibri" w:eastAsia="仿宋_GB2312"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kern w:val="0"/>
          <w:sz w:val="30"/>
          <w:szCs w:val="30"/>
        </w:rPr>
        <w:t>（四）加强廉政风险防控。</w:t>
      </w:r>
      <w:r>
        <w:rPr>
          <w:rFonts w:hint="eastAsia" w:ascii="仿宋_GB2312" w:hAnsi="Calibri" w:eastAsia="仿宋_GB2312"/>
          <w:color w:val="000000"/>
          <w:sz w:val="30"/>
          <w:szCs w:val="30"/>
        </w:rPr>
        <w:t>落实依法行政，定期梳理服务事项，明确办事依据、工作职责和工作流程，规范窗口工作人员行为，做到有章可循，有法可依。</w:t>
      </w:r>
    </w:p>
    <w:p>
      <w:pPr>
        <w:rPr>
          <w:sz w:val="30"/>
          <w:szCs w:val="30"/>
        </w:rPr>
      </w:pPr>
    </w:p>
    <w:p>
      <w:pPr>
        <w:ind w:firstLine="640" w:firstLineChars="200"/>
        <w:rPr>
          <w:rFonts w:ascii="仿宋_GB2312" w:hAnsi="Calibri" w:eastAsia="仿宋_GB2312"/>
          <w:color w:val="000000"/>
          <w:sz w:val="32"/>
          <w:szCs w:val="32"/>
        </w:rPr>
      </w:pPr>
    </w:p>
    <w:p/>
    <w:sectPr>
      <w:headerReference r:id="rId6" w:type="default"/>
      <w:footerReference r:id="rId7" w:type="default"/>
      <w:footerReference r:id="rId8" w:type="even"/>
      <w:pgSz w:w="11906" w:h="16838"/>
      <w:pgMar w:top="2098" w:right="1531" w:bottom="1985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  <w:rFonts w:cs="宋体"/>
      </w:rPr>
    </w:pPr>
    <w:r>
      <w:rPr>
        <w:rStyle w:val="14"/>
        <w:rFonts w:cs="宋体"/>
      </w:rPr>
      <w:fldChar w:fldCharType="begin"/>
    </w:r>
    <w:r>
      <w:rPr>
        <w:rStyle w:val="14"/>
        <w:rFonts w:cs="宋体"/>
      </w:rPr>
      <w:instrText xml:space="preserve">PAGE  </w:instrText>
    </w:r>
    <w:r>
      <w:rPr>
        <w:rStyle w:val="14"/>
        <w:rFonts w:cs="宋体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6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b&#10;wA6PtwEAAFQDAAAOAAAAAAAAAAEAIAAAAB4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14"/>
                    <w:rFonts w:cs="宋体"/>
                  </w:rPr>
                </w:pPr>
                <w:r>
                  <w:rPr>
                    <w:rStyle w:val="14"/>
                    <w:rFonts w:cs="宋体"/>
                  </w:rPr>
                  <w:fldChar w:fldCharType="begin"/>
                </w:r>
                <w:r>
                  <w:rPr>
                    <w:rStyle w:val="14"/>
                    <w:rFonts w:cs="宋体"/>
                  </w:rPr>
                  <w:instrText xml:space="preserve"> PAGE  \* MERGEFORMAT </w:instrText>
                </w:r>
                <w:r>
                  <w:rPr>
                    <w:rStyle w:val="14"/>
                    <w:rFonts w:cs="宋体"/>
                  </w:rPr>
                  <w:fldChar w:fldCharType="separate"/>
                </w:r>
                <w:r>
                  <w:t>II</w:t>
                </w:r>
                <w:r>
                  <w:rPr>
                    <w:rStyle w:val="14"/>
                    <w:rFonts w:cs="宋体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14"/>
                    <w:sz w:val="28"/>
                    <w:szCs w:val="28"/>
                  </w:rPr>
                </w:pPr>
                <w:r>
                  <w:rPr>
                    <w:rStyle w:val="14"/>
                    <w:sz w:val="28"/>
                    <w:szCs w:val="28"/>
                  </w:rPr>
                  <w:fldChar w:fldCharType="begin"/>
                </w:r>
                <w:r>
                  <w:rPr>
                    <w:rStyle w:val="14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14"/>
                    <w:sz w:val="28"/>
                    <w:szCs w:val="28"/>
                  </w:rPr>
                  <w:fldChar w:fldCharType="separate"/>
                </w:r>
                <w:r>
                  <w:rPr>
                    <w:rStyle w:val="14"/>
                    <w:sz w:val="28"/>
                    <w:szCs w:val="28"/>
                  </w:rPr>
                  <w:t>2</w:t>
                </w:r>
                <w:r>
                  <w:rPr>
                    <w:rStyle w:val="14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B61"/>
    <w:rsid w:val="00001E31"/>
    <w:rsid w:val="0000750B"/>
    <w:rsid w:val="00010327"/>
    <w:rsid w:val="00011C56"/>
    <w:rsid w:val="00011F0D"/>
    <w:rsid w:val="0001201D"/>
    <w:rsid w:val="00012152"/>
    <w:rsid w:val="000161F0"/>
    <w:rsid w:val="00024FFB"/>
    <w:rsid w:val="00026D87"/>
    <w:rsid w:val="000270FF"/>
    <w:rsid w:val="00030414"/>
    <w:rsid w:val="00037E05"/>
    <w:rsid w:val="00040ECF"/>
    <w:rsid w:val="0004572B"/>
    <w:rsid w:val="0004581F"/>
    <w:rsid w:val="00046F62"/>
    <w:rsid w:val="000517DD"/>
    <w:rsid w:val="00052507"/>
    <w:rsid w:val="00052DE0"/>
    <w:rsid w:val="00054826"/>
    <w:rsid w:val="00054EE3"/>
    <w:rsid w:val="00055041"/>
    <w:rsid w:val="00055545"/>
    <w:rsid w:val="000619FB"/>
    <w:rsid w:val="000642E3"/>
    <w:rsid w:val="00064CB1"/>
    <w:rsid w:val="0006587C"/>
    <w:rsid w:val="00065ADB"/>
    <w:rsid w:val="0006746E"/>
    <w:rsid w:val="0007230C"/>
    <w:rsid w:val="00073EE8"/>
    <w:rsid w:val="0007577C"/>
    <w:rsid w:val="00077457"/>
    <w:rsid w:val="000775DC"/>
    <w:rsid w:val="00077FDB"/>
    <w:rsid w:val="000823F3"/>
    <w:rsid w:val="00084029"/>
    <w:rsid w:val="00085729"/>
    <w:rsid w:val="00085862"/>
    <w:rsid w:val="000859A2"/>
    <w:rsid w:val="00090D88"/>
    <w:rsid w:val="000945F3"/>
    <w:rsid w:val="000A23B2"/>
    <w:rsid w:val="000A55FE"/>
    <w:rsid w:val="000B1CE0"/>
    <w:rsid w:val="000B2542"/>
    <w:rsid w:val="000C2F8F"/>
    <w:rsid w:val="000C7C5D"/>
    <w:rsid w:val="000E1646"/>
    <w:rsid w:val="000E3426"/>
    <w:rsid w:val="000E69BB"/>
    <w:rsid w:val="000E700A"/>
    <w:rsid w:val="000E7593"/>
    <w:rsid w:val="000F0033"/>
    <w:rsid w:val="000F1D0D"/>
    <w:rsid w:val="000F2069"/>
    <w:rsid w:val="000F41D3"/>
    <w:rsid w:val="000F5F9B"/>
    <w:rsid w:val="000F6942"/>
    <w:rsid w:val="00106378"/>
    <w:rsid w:val="0010695D"/>
    <w:rsid w:val="00110F85"/>
    <w:rsid w:val="00111C50"/>
    <w:rsid w:val="0011205D"/>
    <w:rsid w:val="00112333"/>
    <w:rsid w:val="0011459C"/>
    <w:rsid w:val="00115D21"/>
    <w:rsid w:val="001206BC"/>
    <w:rsid w:val="00122EAB"/>
    <w:rsid w:val="001342C8"/>
    <w:rsid w:val="001350DA"/>
    <w:rsid w:val="0013557F"/>
    <w:rsid w:val="001409AA"/>
    <w:rsid w:val="0014206D"/>
    <w:rsid w:val="0014503A"/>
    <w:rsid w:val="00146138"/>
    <w:rsid w:val="00147CF9"/>
    <w:rsid w:val="00153912"/>
    <w:rsid w:val="00153A25"/>
    <w:rsid w:val="001547A1"/>
    <w:rsid w:val="00154AE0"/>
    <w:rsid w:val="001642EB"/>
    <w:rsid w:val="00166980"/>
    <w:rsid w:val="001716AB"/>
    <w:rsid w:val="00172524"/>
    <w:rsid w:val="0017498F"/>
    <w:rsid w:val="00174C7B"/>
    <w:rsid w:val="00181446"/>
    <w:rsid w:val="00182B0C"/>
    <w:rsid w:val="00186200"/>
    <w:rsid w:val="001A0B27"/>
    <w:rsid w:val="001A4F3E"/>
    <w:rsid w:val="001A552C"/>
    <w:rsid w:val="001B1CBE"/>
    <w:rsid w:val="001B3D28"/>
    <w:rsid w:val="001B7D9F"/>
    <w:rsid w:val="001C0A9B"/>
    <w:rsid w:val="001C22D9"/>
    <w:rsid w:val="001C6F68"/>
    <w:rsid w:val="001D47DD"/>
    <w:rsid w:val="001E5AE0"/>
    <w:rsid w:val="001F5BBD"/>
    <w:rsid w:val="001F63B7"/>
    <w:rsid w:val="0020592A"/>
    <w:rsid w:val="0021003F"/>
    <w:rsid w:val="002121F4"/>
    <w:rsid w:val="00212B2E"/>
    <w:rsid w:val="00226179"/>
    <w:rsid w:val="0023011B"/>
    <w:rsid w:val="0023089D"/>
    <w:rsid w:val="00232ACA"/>
    <w:rsid w:val="00232ACF"/>
    <w:rsid w:val="00233A7A"/>
    <w:rsid w:val="00233F3F"/>
    <w:rsid w:val="00237BD8"/>
    <w:rsid w:val="00242CA8"/>
    <w:rsid w:val="00250931"/>
    <w:rsid w:val="002528F9"/>
    <w:rsid w:val="0025568E"/>
    <w:rsid w:val="00260B8C"/>
    <w:rsid w:val="002630D6"/>
    <w:rsid w:val="002638D5"/>
    <w:rsid w:val="002725EB"/>
    <w:rsid w:val="00272734"/>
    <w:rsid w:val="002730DB"/>
    <w:rsid w:val="002770A4"/>
    <w:rsid w:val="002771E8"/>
    <w:rsid w:val="00281A5B"/>
    <w:rsid w:val="00284D10"/>
    <w:rsid w:val="00285180"/>
    <w:rsid w:val="00286822"/>
    <w:rsid w:val="00290707"/>
    <w:rsid w:val="00290C3D"/>
    <w:rsid w:val="00296D05"/>
    <w:rsid w:val="002A2709"/>
    <w:rsid w:val="002A563B"/>
    <w:rsid w:val="002A5A39"/>
    <w:rsid w:val="002A74B7"/>
    <w:rsid w:val="002C02B2"/>
    <w:rsid w:val="002C0F2E"/>
    <w:rsid w:val="002C7D02"/>
    <w:rsid w:val="002C7DDC"/>
    <w:rsid w:val="002D0D0A"/>
    <w:rsid w:val="002D1C45"/>
    <w:rsid w:val="002D6057"/>
    <w:rsid w:val="002E19D2"/>
    <w:rsid w:val="002E4094"/>
    <w:rsid w:val="002F2E0F"/>
    <w:rsid w:val="00300179"/>
    <w:rsid w:val="00300AC6"/>
    <w:rsid w:val="00300B7A"/>
    <w:rsid w:val="00301A8E"/>
    <w:rsid w:val="00312D0C"/>
    <w:rsid w:val="00313200"/>
    <w:rsid w:val="00321E8D"/>
    <w:rsid w:val="003228F4"/>
    <w:rsid w:val="00324C1B"/>
    <w:rsid w:val="00326CFB"/>
    <w:rsid w:val="00330A1B"/>
    <w:rsid w:val="00341EFF"/>
    <w:rsid w:val="00342463"/>
    <w:rsid w:val="00343A9C"/>
    <w:rsid w:val="0034487B"/>
    <w:rsid w:val="003452B1"/>
    <w:rsid w:val="003532D1"/>
    <w:rsid w:val="00360486"/>
    <w:rsid w:val="003652C3"/>
    <w:rsid w:val="0036561D"/>
    <w:rsid w:val="003670AF"/>
    <w:rsid w:val="00373374"/>
    <w:rsid w:val="003819C6"/>
    <w:rsid w:val="00382352"/>
    <w:rsid w:val="00383E38"/>
    <w:rsid w:val="0039006B"/>
    <w:rsid w:val="00391149"/>
    <w:rsid w:val="00394CED"/>
    <w:rsid w:val="003A0CC4"/>
    <w:rsid w:val="003A6E5C"/>
    <w:rsid w:val="003B115B"/>
    <w:rsid w:val="003B26F6"/>
    <w:rsid w:val="003B5C37"/>
    <w:rsid w:val="003C0873"/>
    <w:rsid w:val="003C11D5"/>
    <w:rsid w:val="003C33A9"/>
    <w:rsid w:val="003C4F50"/>
    <w:rsid w:val="003C5DB7"/>
    <w:rsid w:val="003C6298"/>
    <w:rsid w:val="003C7037"/>
    <w:rsid w:val="003C749F"/>
    <w:rsid w:val="003D6026"/>
    <w:rsid w:val="003E25BF"/>
    <w:rsid w:val="003E5628"/>
    <w:rsid w:val="003E7BFD"/>
    <w:rsid w:val="003F5FA3"/>
    <w:rsid w:val="00401034"/>
    <w:rsid w:val="004078E9"/>
    <w:rsid w:val="004100BD"/>
    <w:rsid w:val="004104AE"/>
    <w:rsid w:val="00413A99"/>
    <w:rsid w:val="00415A4E"/>
    <w:rsid w:val="004171AD"/>
    <w:rsid w:val="0042065B"/>
    <w:rsid w:val="00422C08"/>
    <w:rsid w:val="00424010"/>
    <w:rsid w:val="00424391"/>
    <w:rsid w:val="00432CE7"/>
    <w:rsid w:val="00433E43"/>
    <w:rsid w:val="00435C16"/>
    <w:rsid w:val="0043631E"/>
    <w:rsid w:val="00441053"/>
    <w:rsid w:val="004427FB"/>
    <w:rsid w:val="00443FD1"/>
    <w:rsid w:val="004534ED"/>
    <w:rsid w:val="00453EB4"/>
    <w:rsid w:val="00460111"/>
    <w:rsid w:val="00461C04"/>
    <w:rsid w:val="00462B0E"/>
    <w:rsid w:val="004664D3"/>
    <w:rsid w:val="00470687"/>
    <w:rsid w:val="00473C30"/>
    <w:rsid w:val="004761C3"/>
    <w:rsid w:val="0048048D"/>
    <w:rsid w:val="004821A4"/>
    <w:rsid w:val="00482E84"/>
    <w:rsid w:val="00483CCB"/>
    <w:rsid w:val="004856EF"/>
    <w:rsid w:val="00487652"/>
    <w:rsid w:val="004903D7"/>
    <w:rsid w:val="00496B81"/>
    <w:rsid w:val="00496DF2"/>
    <w:rsid w:val="004A1E62"/>
    <w:rsid w:val="004A3B1D"/>
    <w:rsid w:val="004A3CE8"/>
    <w:rsid w:val="004A68C3"/>
    <w:rsid w:val="004A6947"/>
    <w:rsid w:val="004B1652"/>
    <w:rsid w:val="004B263D"/>
    <w:rsid w:val="004B2AEE"/>
    <w:rsid w:val="004B3171"/>
    <w:rsid w:val="004B48C0"/>
    <w:rsid w:val="004C135C"/>
    <w:rsid w:val="004C20E2"/>
    <w:rsid w:val="004C557D"/>
    <w:rsid w:val="004C5751"/>
    <w:rsid w:val="004D2CA9"/>
    <w:rsid w:val="004E1237"/>
    <w:rsid w:val="004E498C"/>
    <w:rsid w:val="004F1D4C"/>
    <w:rsid w:val="004F3B2E"/>
    <w:rsid w:val="004F4DAA"/>
    <w:rsid w:val="0050075E"/>
    <w:rsid w:val="00501B72"/>
    <w:rsid w:val="005020A1"/>
    <w:rsid w:val="0050612E"/>
    <w:rsid w:val="00510F09"/>
    <w:rsid w:val="00511AEA"/>
    <w:rsid w:val="00516A31"/>
    <w:rsid w:val="00517A1B"/>
    <w:rsid w:val="0052087D"/>
    <w:rsid w:val="00522F7B"/>
    <w:rsid w:val="00532A65"/>
    <w:rsid w:val="00537FA4"/>
    <w:rsid w:val="00546AAE"/>
    <w:rsid w:val="00546D40"/>
    <w:rsid w:val="0054747C"/>
    <w:rsid w:val="00554BC4"/>
    <w:rsid w:val="00556902"/>
    <w:rsid w:val="0056453E"/>
    <w:rsid w:val="00564E74"/>
    <w:rsid w:val="005653AA"/>
    <w:rsid w:val="00566AEC"/>
    <w:rsid w:val="005676BE"/>
    <w:rsid w:val="005709EE"/>
    <w:rsid w:val="00573324"/>
    <w:rsid w:val="005735DE"/>
    <w:rsid w:val="0057641F"/>
    <w:rsid w:val="00576568"/>
    <w:rsid w:val="0058058C"/>
    <w:rsid w:val="005807CB"/>
    <w:rsid w:val="005808DB"/>
    <w:rsid w:val="0058175D"/>
    <w:rsid w:val="00586725"/>
    <w:rsid w:val="00587919"/>
    <w:rsid w:val="00587AC8"/>
    <w:rsid w:val="0059157C"/>
    <w:rsid w:val="0059163D"/>
    <w:rsid w:val="005918A8"/>
    <w:rsid w:val="00596351"/>
    <w:rsid w:val="00597016"/>
    <w:rsid w:val="005A286B"/>
    <w:rsid w:val="005A5BD9"/>
    <w:rsid w:val="005A6C47"/>
    <w:rsid w:val="005A73C1"/>
    <w:rsid w:val="005B208C"/>
    <w:rsid w:val="005B27B5"/>
    <w:rsid w:val="005C0463"/>
    <w:rsid w:val="005C0B19"/>
    <w:rsid w:val="005C31A8"/>
    <w:rsid w:val="005C6C13"/>
    <w:rsid w:val="005D3D2A"/>
    <w:rsid w:val="005D4294"/>
    <w:rsid w:val="005D5927"/>
    <w:rsid w:val="005D59AB"/>
    <w:rsid w:val="005E204A"/>
    <w:rsid w:val="005E4B3F"/>
    <w:rsid w:val="005F1146"/>
    <w:rsid w:val="005F17A4"/>
    <w:rsid w:val="005F3789"/>
    <w:rsid w:val="0060070B"/>
    <w:rsid w:val="006016D0"/>
    <w:rsid w:val="00611112"/>
    <w:rsid w:val="00611F03"/>
    <w:rsid w:val="00613DE6"/>
    <w:rsid w:val="006163AC"/>
    <w:rsid w:val="006213FE"/>
    <w:rsid w:val="00624494"/>
    <w:rsid w:val="00630EC1"/>
    <w:rsid w:val="00632B87"/>
    <w:rsid w:val="0063308D"/>
    <w:rsid w:val="00635CCF"/>
    <w:rsid w:val="00650B91"/>
    <w:rsid w:val="006529EA"/>
    <w:rsid w:val="00661566"/>
    <w:rsid w:val="00662ECD"/>
    <w:rsid w:val="00663B90"/>
    <w:rsid w:val="006641F1"/>
    <w:rsid w:val="00671DDE"/>
    <w:rsid w:val="00672328"/>
    <w:rsid w:val="00673A10"/>
    <w:rsid w:val="00685223"/>
    <w:rsid w:val="00691DFB"/>
    <w:rsid w:val="00692592"/>
    <w:rsid w:val="00692DF1"/>
    <w:rsid w:val="006974CD"/>
    <w:rsid w:val="006A2383"/>
    <w:rsid w:val="006A4C05"/>
    <w:rsid w:val="006B456A"/>
    <w:rsid w:val="006B546A"/>
    <w:rsid w:val="006B7255"/>
    <w:rsid w:val="006B7426"/>
    <w:rsid w:val="006B7931"/>
    <w:rsid w:val="006C5498"/>
    <w:rsid w:val="006C681D"/>
    <w:rsid w:val="006E0867"/>
    <w:rsid w:val="006E37AA"/>
    <w:rsid w:val="006E5825"/>
    <w:rsid w:val="006E5E37"/>
    <w:rsid w:val="006F24F1"/>
    <w:rsid w:val="006F3B7D"/>
    <w:rsid w:val="006F3D51"/>
    <w:rsid w:val="006F77BB"/>
    <w:rsid w:val="006F796C"/>
    <w:rsid w:val="00700A23"/>
    <w:rsid w:val="00701FCD"/>
    <w:rsid w:val="007067B7"/>
    <w:rsid w:val="00707896"/>
    <w:rsid w:val="0072119B"/>
    <w:rsid w:val="00725091"/>
    <w:rsid w:val="00725E19"/>
    <w:rsid w:val="00725E25"/>
    <w:rsid w:val="0073233C"/>
    <w:rsid w:val="007328B4"/>
    <w:rsid w:val="00745F2B"/>
    <w:rsid w:val="007468FC"/>
    <w:rsid w:val="00750E9E"/>
    <w:rsid w:val="0075470D"/>
    <w:rsid w:val="00764261"/>
    <w:rsid w:val="0077060B"/>
    <w:rsid w:val="0077376D"/>
    <w:rsid w:val="0077460A"/>
    <w:rsid w:val="007818A2"/>
    <w:rsid w:val="0078662F"/>
    <w:rsid w:val="007928CC"/>
    <w:rsid w:val="00794E32"/>
    <w:rsid w:val="007957A1"/>
    <w:rsid w:val="00796172"/>
    <w:rsid w:val="007971EE"/>
    <w:rsid w:val="007A4D07"/>
    <w:rsid w:val="007A4D39"/>
    <w:rsid w:val="007A5646"/>
    <w:rsid w:val="007A7DA3"/>
    <w:rsid w:val="007B0A39"/>
    <w:rsid w:val="007C1DED"/>
    <w:rsid w:val="007C41C7"/>
    <w:rsid w:val="007C5FBB"/>
    <w:rsid w:val="007C6C29"/>
    <w:rsid w:val="007C7144"/>
    <w:rsid w:val="007D2765"/>
    <w:rsid w:val="007E0EDF"/>
    <w:rsid w:val="007E1250"/>
    <w:rsid w:val="007E17E9"/>
    <w:rsid w:val="007E6879"/>
    <w:rsid w:val="007E7088"/>
    <w:rsid w:val="007E76D4"/>
    <w:rsid w:val="007F111D"/>
    <w:rsid w:val="007F12D5"/>
    <w:rsid w:val="007F33D9"/>
    <w:rsid w:val="007F3682"/>
    <w:rsid w:val="007F5310"/>
    <w:rsid w:val="008040E6"/>
    <w:rsid w:val="00807081"/>
    <w:rsid w:val="0080708D"/>
    <w:rsid w:val="00807309"/>
    <w:rsid w:val="00807D22"/>
    <w:rsid w:val="008142EF"/>
    <w:rsid w:val="008155C2"/>
    <w:rsid w:val="0082049E"/>
    <w:rsid w:val="00820DEC"/>
    <w:rsid w:val="00824804"/>
    <w:rsid w:val="0083287B"/>
    <w:rsid w:val="008354EF"/>
    <w:rsid w:val="0083689B"/>
    <w:rsid w:val="00836C2A"/>
    <w:rsid w:val="0084016E"/>
    <w:rsid w:val="0084738A"/>
    <w:rsid w:val="00850BB4"/>
    <w:rsid w:val="0085100B"/>
    <w:rsid w:val="00860DC7"/>
    <w:rsid w:val="00860F06"/>
    <w:rsid w:val="0086218F"/>
    <w:rsid w:val="00862AEA"/>
    <w:rsid w:val="0086617D"/>
    <w:rsid w:val="00866A9B"/>
    <w:rsid w:val="00870433"/>
    <w:rsid w:val="00870705"/>
    <w:rsid w:val="00874716"/>
    <w:rsid w:val="008754B3"/>
    <w:rsid w:val="00877A5C"/>
    <w:rsid w:val="008908F7"/>
    <w:rsid w:val="00891AEC"/>
    <w:rsid w:val="0089231B"/>
    <w:rsid w:val="008A0A7C"/>
    <w:rsid w:val="008A1CED"/>
    <w:rsid w:val="008A2776"/>
    <w:rsid w:val="008A2890"/>
    <w:rsid w:val="008A49A3"/>
    <w:rsid w:val="008A49F8"/>
    <w:rsid w:val="008A56AA"/>
    <w:rsid w:val="008B1C4B"/>
    <w:rsid w:val="008C40E1"/>
    <w:rsid w:val="008C4E70"/>
    <w:rsid w:val="008C6F74"/>
    <w:rsid w:val="008C7443"/>
    <w:rsid w:val="008C777A"/>
    <w:rsid w:val="008D02F2"/>
    <w:rsid w:val="008D6016"/>
    <w:rsid w:val="008D6FE4"/>
    <w:rsid w:val="008D71BD"/>
    <w:rsid w:val="008E556B"/>
    <w:rsid w:val="008E69A1"/>
    <w:rsid w:val="008E6C34"/>
    <w:rsid w:val="008E7F0A"/>
    <w:rsid w:val="008F330F"/>
    <w:rsid w:val="00901E30"/>
    <w:rsid w:val="00902C8A"/>
    <w:rsid w:val="00906D5E"/>
    <w:rsid w:val="0091049D"/>
    <w:rsid w:val="00910912"/>
    <w:rsid w:val="00911919"/>
    <w:rsid w:val="00924A9F"/>
    <w:rsid w:val="00924EDF"/>
    <w:rsid w:val="00926BFC"/>
    <w:rsid w:val="0093168C"/>
    <w:rsid w:val="00931888"/>
    <w:rsid w:val="00941E0C"/>
    <w:rsid w:val="009447A8"/>
    <w:rsid w:val="00944EDB"/>
    <w:rsid w:val="00944F0C"/>
    <w:rsid w:val="0095046B"/>
    <w:rsid w:val="00950BA2"/>
    <w:rsid w:val="00954E31"/>
    <w:rsid w:val="0095648A"/>
    <w:rsid w:val="00960292"/>
    <w:rsid w:val="0096662C"/>
    <w:rsid w:val="009700EE"/>
    <w:rsid w:val="009779C5"/>
    <w:rsid w:val="00977AEE"/>
    <w:rsid w:val="00977C34"/>
    <w:rsid w:val="0098350B"/>
    <w:rsid w:val="00985EFF"/>
    <w:rsid w:val="009911A0"/>
    <w:rsid w:val="0099374E"/>
    <w:rsid w:val="0099596B"/>
    <w:rsid w:val="009A36F2"/>
    <w:rsid w:val="009B6F62"/>
    <w:rsid w:val="009C5E6A"/>
    <w:rsid w:val="009C6A96"/>
    <w:rsid w:val="009D106B"/>
    <w:rsid w:val="009D1D3D"/>
    <w:rsid w:val="009D4827"/>
    <w:rsid w:val="009E1A89"/>
    <w:rsid w:val="009E3F95"/>
    <w:rsid w:val="009E4B9B"/>
    <w:rsid w:val="009E752C"/>
    <w:rsid w:val="009F621A"/>
    <w:rsid w:val="00A02A90"/>
    <w:rsid w:val="00A03448"/>
    <w:rsid w:val="00A11132"/>
    <w:rsid w:val="00A1363E"/>
    <w:rsid w:val="00A16621"/>
    <w:rsid w:val="00A21071"/>
    <w:rsid w:val="00A21AC6"/>
    <w:rsid w:val="00A23C10"/>
    <w:rsid w:val="00A253BA"/>
    <w:rsid w:val="00A26602"/>
    <w:rsid w:val="00A31DAD"/>
    <w:rsid w:val="00A3262E"/>
    <w:rsid w:val="00A35246"/>
    <w:rsid w:val="00A366CC"/>
    <w:rsid w:val="00A455C1"/>
    <w:rsid w:val="00A45DE5"/>
    <w:rsid w:val="00A50845"/>
    <w:rsid w:val="00A5450C"/>
    <w:rsid w:val="00A55A0E"/>
    <w:rsid w:val="00A57480"/>
    <w:rsid w:val="00A63E63"/>
    <w:rsid w:val="00A6471F"/>
    <w:rsid w:val="00A67275"/>
    <w:rsid w:val="00A676CF"/>
    <w:rsid w:val="00A67C75"/>
    <w:rsid w:val="00A82779"/>
    <w:rsid w:val="00A83417"/>
    <w:rsid w:val="00A85CC4"/>
    <w:rsid w:val="00A96BB7"/>
    <w:rsid w:val="00AA3A4C"/>
    <w:rsid w:val="00AA6C17"/>
    <w:rsid w:val="00AA7733"/>
    <w:rsid w:val="00AB0B46"/>
    <w:rsid w:val="00AB5CF5"/>
    <w:rsid w:val="00AB76FD"/>
    <w:rsid w:val="00AC3141"/>
    <w:rsid w:val="00AD011E"/>
    <w:rsid w:val="00AD19B9"/>
    <w:rsid w:val="00AD2B7A"/>
    <w:rsid w:val="00AD3306"/>
    <w:rsid w:val="00AD5787"/>
    <w:rsid w:val="00AD6921"/>
    <w:rsid w:val="00AD7ED2"/>
    <w:rsid w:val="00AE424C"/>
    <w:rsid w:val="00AE6660"/>
    <w:rsid w:val="00AE6A3C"/>
    <w:rsid w:val="00AF1005"/>
    <w:rsid w:val="00AF284E"/>
    <w:rsid w:val="00AF2D48"/>
    <w:rsid w:val="00AF52FD"/>
    <w:rsid w:val="00AF5BC4"/>
    <w:rsid w:val="00AF78C6"/>
    <w:rsid w:val="00B017C5"/>
    <w:rsid w:val="00B0201C"/>
    <w:rsid w:val="00B045F2"/>
    <w:rsid w:val="00B05C06"/>
    <w:rsid w:val="00B124BF"/>
    <w:rsid w:val="00B16B53"/>
    <w:rsid w:val="00B225F7"/>
    <w:rsid w:val="00B242BC"/>
    <w:rsid w:val="00B24602"/>
    <w:rsid w:val="00B25146"/>
    <w:rsid w:val="00B260B0"/>
    <w:rsid w:val="00B40669"/>
    <w:rsid w:val="00B40BB6"/>
    <w:rsid w:val="00B40E7C"/>
    <w:rsid w:val="00B41064"/>
    <w:rsid w:val="00B477D4"/>
    <w:rsid w:val="00B53F34"/>
    <w:rsid w:val="00B54F4D"/>
    <w:rsid w:val="00B555BD"/>
    <w:rsid w:val="00B56273"/>
    <w:rsid w:val="00B62399"/>
    <w:rsid w:val="00B6358A"/>
    <w:rsid w:val="00B70DFA"/>
    <w:rsid w:val="00B74143"/>
    <w:rsid w:val="00B8390C"/>
    <w:rsid w:val="00B93A09"/>
    <w:rsid w:val="00BA3399"/>
    <w:rsid w:val="00BA5D4F"/>
    <w:rsid w:val="00BB0F2E"/>
    <w:rsid w:val="00BB4B89"/>
    <w:rsid w:val="00BB58B5"/>
    <w:rsid w:val="00BC4335"/>
    <w:rsid w:val="00BC78F8"/>
    <w:rsid w:val="00BC7909"/>
    <w:rsid w:val="00BD296E"/>
    <w:rsid w:val="00BD2BF2"/>
    <w:rsid w:val="00BD3DF8"/>
    <w:rsid w:val="00BE3033"/>
    <w:rsid w:val="00BE3FAC"/>
    <w:rsid w:val="00BE4AD3"/>
    <w:rsid w:val="00BF4C24"/>
    <w:rsid w:val="00BF594F"/>
    <w:rsid w:val="00BF76B1"/>
    <w:rsid w:val="00C01CDA"/>
    <w:rsid w:val="00C10C1F"/>
    <w:rsid w:val="00C120BF"/>
    <w:rsid w:val="00C149F2"/>
    <w:rsid w:val="00C16A4D"/>
    <w:rsid w:val="00C17368"/>
    <w:rsid w:val="00C17BB7"/>
    <w:rsid w:val="00C20E83"/>
    <w:rsid w:val="00C315E8"/>
    <w:rsid w:val="00C32FB3"/>
    <w:rsid w:val="00C3443B"/>
    <w:rsid w:val="00C375A4"/>
    <w:rsid w:val="00C4191B"/>
    <w:rsid w:val="00C55FD5"/>
    <w:rsid w:val="00C61F21"/>
    <w:rsid w:val="00C6738D"/>
    <w:rsid w:val="00C720AF"/>
    <w:rsid w:val="00C76798"/>
    <w:rsid w:val="00C8094C"/>
    <w:rsid w:val="00C81371"/>
    <w:rsid w:val="00C81ACA"/>
    <w:rsid w:val="00C82B0F"/>
    <w:rsid w:val="00C84FC7"/>
    <w:rsid w:val="00C85096"/>
    <w:rsid w:val="00C92706"/>
    <w:rsid w:val="00C94250"/>
    <w:rsid w:val="00C948C1"/>
    <w:rsid w:val="00C9762D"/>
    <w:rsid w:val="00CA1CFD"/>
    <w:rsid w:val="00CA4731"/>
    <w:rsid w:val="00CA49D7"/>
    <w:rsid w:val="00CA555E"/>
    <w:rsid w:val="00CA7389"/>
    <w:rsid w:val="00CB061C"/>
    <w:rsid w:val="00CB3B75"/>
    <w:rsid w:val="00CD181D"/>
    <w:rsid w:val="00CD3C76"/>
    <w:rsid w:val="00CD5C80"/>
    <w:rsid w:val="00CE00FB"/>
    <w:rsid w:val="00CE2015"/>
    <w:rsid w:val="00CE2ECA"/>
    <w:rsid w:val="00CE36A2"/>
    <w:rsid w:val="00CE5BD8"/>
    <w:rsid w:val="00CF0B9D"/>
    <w:rsid w:val="00CF1EF6"/>
    <w:rsid w:val="00CF22EB"/>
    <w:rsid w:val="00CF6575"/>
    <w:rsid w:val="00D00D6A"/>
    <w:rsid w:val="00D0140E"/>
    <w:rsid w:val="00D02622"/>
    <w:rsid w:val="00D03663"/>
    <w:rsid w:val="00D0734A"/>
    <w:rsid w:val="00D07CA9"/>
    <w:rsid w:val="00D27BB0"/>
    <w:rsid w:val="00D45372"/>
    <w:rsid w:val="00D4591E"/>
    <w:rsid w:val="00D5284E"/>
    <w:rsid w:val="00D52E5A"/>
    <w:rsid w:val="00D61343"/>
    <w:rsid w:val="00D62EAF"/>
    <w:rsid w:val="00D642E2"/>
    <w:rsid w:val="00D664D2"/>
    <w:rsid w:val="00D76010"/>
    <w:rsid w:val="00D83095"/>
    <w:rsid w:val="00D85371"/>
    <w:rsid w:val="00D95CDA"/>
    <w:rsid w:val="00D978EE"/>
    <w:rsid w:val="00DA57D8"/>
    <w:rsid w:val="00DA6A1B"/>
    <w:rsid w:val="00DB2453"/>
    <w:rsid w:val="00DB7C57"/>
    <w:rsid w:val="00DC0BBA"/>
    <w:rsid w:val="00DC2A0D"/>
    <w:rsid w:val="00DC2B54"/>
    <w:rsid w:val="00DC3BE6"/>
    <w:rsid w:val="00DD0CA8"/>
    <w:rsid w:val="00DD2718"/>
    <w:rsid w:val="00DD6265"/>
    <w:rsid w:val="00DD7459"/>
    <w:rsid w:val="00DE387B"/>
    <w:rsid w:val="00DE6A0E"/>
    <w:rsid w:val="00E0008C"/>
    <w:rsid w:val="00E01596"/>
    <w:rsid w:val="00E04899"/>
    <w:rsid w:val="00E05FAA"/>
    <w:rsid w:val="00E07080"/>
    <w:rsid w:val="00E10097"/>
    <w:rsid w:val="00E13B61"/>
    <w:rsid w:val="00E14564"/>
    <w:rsid w:val="00E14C9B"/>
    <w:rsid w:val="00E17ED6"/>
    <w:rsid w:val="00E20C66"/>
    <w:rsid w:val="00E2124B"/>
    <w:rsid w:val="00E21358"/>
    <w:rsid w:val="00E2704D"/>
    <w:rsid w:val="00E2795F"/>
    <w:rsid w:val="00E45EF1"/>
    <w:rsid w:val="00E47ACD"/>
    <w:rsid w:val="00E50882"/>
    <w:rsid w:val="00E558D1"/>
    <w:rsid w:val="00E56DF0"/>
    <w:rsid w:val="00E60ED3"/>
    <w:rsid w:val="00E61CD4"/>
    <w:rsid w:val="00E61D43"/>
    <w:rsid w:val="00E66190"/>
    <w:rsid w:val="00E7508A"/>
    <w:rsid w:val="00E7580C"/>
    <w:rsid w:val="00E80C01"/>
    <w:rsid w:val="00E83831"/>
    <w:rsid w:val="00E857E6"/>
    <w:rsid w:val="00E92B75"/>
    <w:rsid w:val="00E932FE"/>
    <w:rsid w:val="00EA485F"/>
    <w:rsid w:val="00EB0507"/>
    <w:rsid w:val="00EB0EE0"/>
    <w:rsid w:val="00EB17D3"/>
    <w:rsid w:val="00EB4665"/>
    <w:rsid w:val="00EB4999"/>
    <w:rsid w:val="00EB6B68"/>
    <w:rsid w:val="00EB78FB"/>
    <w:rsid w:val="00EC05D7"/>
    <w:rsid w:val="00EC3194"/>
    <w:rsid w:val="00EC39E7"/>
    <w:rsid w:val="00EC3CA6"/>
    <w:rsid w:val="00EC3CF8"/>
    <w:rsid w:val="00EC75EC"/>
    <w:rsid w:val="00EE264F"/>
    <w:rsid w:val="00EE62A7"/>
    <w:rsid w:val="00EE649B"/>
    <w:rsid w:val="00EE6E7D"/>
    <w:rsid w:val="00EF7F5D"/>
    <w:rsid w:val="00F01AFC"/>
    <w:rsid w:val="00F03061"/>
    <w:rsid w:val="00F03CAA"/>
    <w:rsid w:val="00F0442B"/>
    <w:rsid w:val="00F04678"/>
    <w:rsid w:val="00F06B35"/>
    <w:rsid w:val="00F07413"/>
    <w:rsid w:val="00F07AB2"/>
    <w:rsid w:val="00F07E03"/>
    <w:rsid w:val="00F11F2B"/>
    <w:rsid w:val="00F126A7"/>
    <w:rsid w:val="00F15A92"/>
    <w:rsid w:val="00F17885"/>
    <w:rsid w:val="00F17BFB"/>
    <w:rsid w:val="00F22710"/>
    <w:rsid w:val="00F22815"/>
    <w:rsid w:val="00F22FBE"/>
    <w:rsid w:val="00F2763A"/>
    <w:rsid w:val="00F27A70"/>
    <w:rsid w:val="00F3481F"/>
    <w:rsid w:val="00F372A1"/>
    <w:rsid w:val="00F43B4D"/>
    <w:rsid w:val="00F44B39"/>
    <w:rsid w:val="00F46889"/>
    <w:rsid w:val="00F51951"/>
    <w:rsid w:val="00F53325"/>
    <w:rsid w:val="00F53BEE"/>
    <w:rsid w:val="00F564C6"/>
    <w:rsid w:val="00F6134F"/>
    <w:rsid w:val="00F62BD4"/>
    <w:rsid w:val="00F6339B"/>
    <w:rsid w:val="00F67BE7"/>
    <w:rsid w:val="00F776B2"/>
    <w:rsid w:val="00F86763"/>
    <w:rsid w:val="00F86CD7"/>
    <w:rsid w:val="00F90773"/>
    <w:rsid w:val="00F91117"/>
    <w:rsid w:val="00F96E43"/>
    <w:rsid w:val="00F970D7"/>
    <w:rsid w:val="00F974FD"/>
    <w:rsid w:val="00FA0E94"/>
    <w:rsid w:val="00FA529A"/>
    <w:rsid w:val="00FA53A3"/>
    <w:rsid w:val="00FA59A3"/>
    <w:rsid w:val="00FA5DD1"/>
    <w:rsid w:val="00FA7B0B"/>
    <w:rsid w:val="00FB11EB"/>
    <w:rsid w:val="00FB1A9C"/>
    <w:rsid w:val="00FB402F"/>
    <w:rsid w:val="00FB59F9"/>
    <w:rsid w:val="00FB68CF"/>
    <w:rsid w:val="00FB7324"/>
    <w:rsid w:val="00FC405C"/>
    <w:rsid w:val="00FC49CC"/>
    <w:rsid w:val="00FD0956"/>
    <w:rsid w:val="00FD71E8"/>
    <w:rsid w:val="00FD76E6"/>
    <w:rsid w:val="00FE00E2"/>
    <w:rsid w:val="00FE3573"/>
    <w:rsid w:val="00FE5AE7"/>
    <w:rsid w:val="00FE6172"/>
    <w:rsid w:val="00FE7A22"/>
    <w:rsid w:val="00FF1C55"/>
    <w:rsid w:val="00FF219F"/>
    <w:rsid w:val="00FF3999"/>
    <w:rsid w:val="00FF6E7E"/>
    <w:rsid w:val="00FF7E1F"/>
    <w:rsid w:val="377A6A2A"/>
    <w:rsid w:val="59EC1918"/>
    <w:rsid w:val="71C4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 w:locked="1"/>
    <w:lsdException w:unhideWhenUsed="0" w:uiPriority="99" w:semiHidden="0" w:name="toc 2" w:locked="1"/>
    <w:lsdException w:unhideWhenUsed="0" w:uiPriority="99" w:semiHidden="0" w:name="toc 3" w:locked="1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nhideWhenUsed="0" w:uiPriority="99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12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locked/>
    <w:uiPriority w:val="99"/>
    <w:pPr>
      <w:tabs>
        <w:tab w:val="right" w:leader="dot" w:pos="8268"/>
      </w:tabs>
      <w:spacing w:line="360" w:lineRule="auto"/>
      <w:ind w:left="960" w:leftChars="400" w:right="240" w:rightChars="100"/>
    </w:pPr>
    <w:rPr>
      <w:rFonts w:ascii="Calibri" w:hAnsi="Calibri" w:eastAsia="仿宋_GB2312" w:cs="Times New Roman"/>
      <w:b/>
      <w:bCs/>
      <w:sz w:val="24"/>
    </w:rPr>
  </w:style>
  <w:style w:type="paragraph" w:styleId="4">
    <w:name w:val="Balloon Text"/>
    <w:basedOn w:val="1"/>
    <w:link w:val="18"/>
    <w:semiHidden/>
    <w:uiPriority w:val="99"/>
    <w:rPr>
      <w:sz w:val="18"/>
      <w:szCs w:val="18"/>
    </w:rPr>
  </w:style>
  <w:style w:type="paragraph" w:styleId="5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locked/>
    <w:uiPriority w:val="99"/>
    <w:pPr>
      <w:tabs>
        <w:tab w:val="right" w:leader="dot" w:pos="8268"/>
      </w:tabs>
      <w:spacing w:line="360" w:lineRule="auto"/>
      <w:ind w:left="240" w:leftChars="100" w:right="240" w:rightChars="100"/>
    </w:pPr>
    <w:rPr>
      <w:rFonts w:ascii="黑体" w:hAnsi="黑体" w:eastAsia="黑体" w:cs="黑体"/>
      <w:b/>
      <w:sz w:val="24"/>
    </w:rPr>
  </w:style>
  <w:style w:type="paragraph" w:styleId="8">
    <w:name w:val="toc 2"/>
    <w:basedOn w:val="1"/>
    <w:next w:val="1"/>
    <w:locked/>
    <w:uiPriority w:val="99"/>
    <w:pPr>
      <w:tabs>
        <w:tab w:val="right" w:leader="dot" w:pos="8268"/>
      </w:tabs>
      <w:spacing w:line="360" w:lineRule="auto"/>
      <w:ind w:left="480" w:leftChars="200" w:right="240" w:rightChars="100"/>
    </w:pPr>
    <w:rPr>
      <w:rFonts w:ascii="Calibri" w:hAnsi="Calibri" w:eastAsia="仿宋_GB2312" w:cs="黑体"/>
      <w:b/>
      <w:sz w:val="24"/>
    </w:rPr>
  </w:style>
  <w:style w:type="paragraph" w:styleId="9">
    <w:name w:val="HTML Preformatted"/>
    <w:basedOn w:val="1"/>
    <w:link w:val="21"/>
    <w:semiHidden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kern w:val="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Emphasis"/>
    <w:basedOn w:val="12"/>
    <w:qFormat/>
    <w:uiPriority w:val="99"/>
    <w:rPr>
      <w:rFonts w:cs="Times New Roman"/>
      <w:color w:val="CC0000"/>
    </w:rPr>
  </w:style>
  <w:style w:type="character" w:styleId="16">
    <w:name w:val="Hyperlink"/>
    <w:basedOn w:val="12"/>
    <w:semiHidden/>
    <w:uiPriority w:val="99"/>
    <w:rPr>
      <w:rFonts w:cs="Times New Roman"/>
      <w:color w:val="0000FF"/>
      <w:u w:val="single"/>
    </w:rPr>
  </w:style>
  <w:style w:type="character" w:customStyle="1" w:styleId="17">
    <w:name w:val="Heading 1 Char"/>
    <w:basedOn w:val="12"/>
    <w:link w:val="2"/>
    <w:locked/>
    <w:uiPriority w:val="99"/>
    <w:rPr>
      <w:rFonts w:cs="Times New Roman"/>
      <w:b/>
      <w:bCs/>
      <w:kern w:val="36"/>
      <w:sz w:val="48"/>
      <w:szCs w:val="48"/>
    </w:rPr>
  </w:style>
  <w:style w:type="character" w:customStyle="1" w:styleId="18">
    <w:name w:val="Balloon Text Char"/>
    <w:basedOn w:val="12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9">
    <w:name w:val="Footer Char"/>
    <w:basedOn w:val="12"/>
    <w:link w:val="5"/>
    <w:locked/>
    <w:uiPriority w:val="99"/>
    <w:rPr>
      <w:rFonts w:cs="Times New Roman"/>
      <w:sz w:val="18"/>
      <w:szCs w:val="18"/>
    </w:rPr>
  </w:style>
  <w:style w:type="character" w:customStyle="1" w:styleId="20">
    <w:name w:val="Header Char"/>
    <w:basedOn w:val="12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21">
    <w:name w:val="HTML Preformatted Char"/>
    <w:basedOn w:val="12"/>
    <w:link w:val="9"/>
    <w:semiHidden/>
    <w:qFormat/>
    <w:locked/>
    <w:uiPriority w:val="99"/>
    <w:rPr>
      <w:rFonts w:cs="Times New Roman"/>
      <w:kern w:val="0"/>
      <w:sz w:val="24"/>
      <w:szCs w:val="24"/>
    </w:rPr>
  </w:style>
  <w:style w:type="paragraph" w:customStyle="1" w:styleId="22">
    <w:name w:val="p20"/>
    <w:basedOn w:val="1"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23">
    <w:name w:val="16"/>
    <w:uiPriority w:val="99"/>
  </w:style>
  <w:style w:type="character" w:customStyle="1" w:styleId="24">
    <w:name w:val="apple-converted-space"/>
    <w:uiPriority w:val="99"/>
  </w:style>
  <w:style w:type="paragraph" w:customStyle="1" w:styleId="25">
    <w:name w:val="p21"/>
    <w:basedOn w:val="1"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26">
    <w:name w:val="p19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27">
    <w:name w:val="List Paragraph1"/>
    <w:basedOn w:val="1"/>
    <w:qFormat/>
    <w:uiPriority w:val="99"/>
    <w:pPr>
      <w:ind w:firstLine="420" w:firstLineChars="200"/>
    </w:pPr>
    <w:rPr>
      <w:rFonts w:ascii="Calibri" w:hAnsi="Calibri" w:cs="Times New Roman"/>
    </w:rPr>
  </w:style>
  <w:style w:type="paragraph" w:customStyle="1" w:styleId="28">
    <w:name w:val="p0"/>
    <w:basedOn w:val="1"/>
    <w:qFormat/>
    <w:uiPriority w:val="99"/>
    <w:pPr>
      <w:widowControl/>
      <w:jc w:val="left"/>
    </w:pPr>
    <w:rPr>
      <w:kern w:val="0"/>
      <w:sz w:val="24"/>
      <w:szCs w:val="24"/>
    </w:rPr>
  </w:style>
  <w:style w:type="paragraph" w:customStyle="1" w:styleId="29">
    <w:name w:val="describe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30">
    <w:name w:val="TOC Heading1"/>
    <w:basedOn w:val="2"/>
    <w:next w:val="1"/>
    <w:qFormat/>
    <w:uiPriority w:val="99"/>
    <w:pPr>
      <w:keepNext/>
      <w:keepLines/>
      <w:spacing w:before="480" w:beforeAutospacing="0" w:after="0" w:afterAutospacing="0" w:line="276" w:lineRule="auto"/>
      <w:outlineLvl w:val="9"/>
    </w:pPr>
    <w:rPr>
      <w:rFonts w:ascii="Calibri Light" w:hAnsi="Calibri Light" w:cs="Times New Roman"/>
      <w:color w:val="2E74B5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10</Pages>
  <Words>684</Words>
  <Characters>3904</Characters>
  <Lines>0</Lines>
  <Paragraphs>0</Paragraphs>
  <TotalTime>21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2016-06-14T00:54:00Z</dcterms:created>
  <dc:creator>DELL</dc:creator>
  <cp:lastModifiedBy>L.Y</cp:lastModifiedBy>
  <cp:lastPrinted>2016-09-18T08:28:00Z</cp:lastPrinted>
  <dcterms:modified xsi:type="dcterms:W3CDTF">2024-08-22T08:29:12Z</dcterms:modified>
  <dc:title>“十三五”时期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26F32F281368473EA557C44DDFC31486</vt:lpwstr>
  </property>
</Properties>
</file>