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简体" w:eastAsia="方正小标宋简体" w:hAnsiTheme="minorEastAsia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2025年1—4月丰台区经济运行情况</w:t>
      </w:r>
      <w:bookmarkEnd w:id="0"/>
    </w:p>
    <w:p>
      <w:pPr>
        <w:pStyle w:val="2"/>
        <w:jc w:val="center"/>
      </w:pPr>
    </w:p>
    <w:p>
      <w:pPr>
        <w:tabs>
          <w:tab w:val="left" w:pos="5760"/>
        </w:tabs>
        <w:spacing w:line="600" w:lineRule="exact"/>
        <w:ind w:right="-15" w:firstLine="63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1—4月，全区坚持稳中求进工作总基调，全面落实各项决策部署，工业生产、固定资产投资较快增长，消费品市场恢复放缓，总体经济运行基本平稳。</w:t>
      </w:r>
    </w:p>
    <w:p>
      <w:pPr>
        <w:tabs>
          <w:tab w:val="left" w:pos="5760"/>
        </w:tabs>
        <w:spacing w:line="600" w:lineRule="exact"/>
        <w:ind w:right="-15" w:firstLine="63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一、工业生产</w:t>
      </w:r>
    </w:p>
    <w:p>
      <w:pPr>
        <w:tabs>
          <w:tab w:val="left" w:pos="5760"/>
        </w:tabs>
        <w:spacing w:line="600" w:lineRule="exact"/>
        <w:ind w:right="-15" w:firstLine="63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1—4月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全区规模以上工业企业实现工业总产值88.7亿元，比上年同期增长5.2%。从主要行业看，铁路、船舶、航空航天和其他运输设备制造业增长26.7%，电力、热力生产和供应业增长13.8%，专用设备制造业增长8.4%，非金属矿物制品业下降11.9%。</w:t>
      </w:r>
    </w:p>
    <w:p>
      <w:pPr>
        <w:tabs>
          <w:tab w:val="left" w:pos="5760"/>
        </w:tabs>
        <w:spacing w:line="600" w:lineRule="exact"/>
        <w:ind w:right="-15" w:firstLine="630"/>
        <w:rPr>
          <w:rFonts w:ascii="黑体" w:eastAsia="黑体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1—4月，</w:t>
      </w:r>
      <w:r>
        <w:rPr>
          <w:rFonts w:hint="eastAsia" w:ascii="仿宋_GB2312" w:eastAsia="仿宋_GB2312"/>
          <w:sz w:val="28"/>
          <w:szCs w:val="28"/>
        </w:rPr>
        <w:t>全区规模以上工业企业实现销售产值81.7亿元，比上年同期增长5.9%，其中出口交货值2.1亿元，下降5.8%。</w:t>
      </w:r>
    </w:p>
    <w:p>
      <w:pPr>
        <w:tabs>
          <w:tab w:val="left" w:pos="5760"/>
        </w:tabs>
        <w:spacing w:line="600" w:lineRule="exact"/>
        <w:ind w:right="-15" w:firstLine="63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二、固定资产投资</w:t>
      </w:r>
    </w:p>
    <w:p>
      <w:pPr>
        <w:tabs>
          <w:tab w:val="left" w:pos="5760"/>
        </w:tabs>
        <w:spacing w:line="600" w:lineRule="exact"/>
        <w:ind w:right="-15" w:firstLine="63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1—4月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全区固定资产投资（不含农户）比上年同期增长11.7%。其中，基础设施投资增长14.6%，建安投资下降3%。</w:t>
      </w:r>
    </w:p>
    <w:p>
      <w:pPr>
        <w:tabs>
          <w:tab w:val="left" w:pos="5760"/>
        </w:tabs>
        <w:spacing w:line="600" w:lineRule="exact"/>
        <w:ind w:right="-15" w:firstLine="63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分产业看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，第二产业投资比上年同期增长13.7%；第三产业投资增长11.7%。</w:t>
      </w:r>
    </w:p>
    <w:p>
      <w:pPr>
        <w:pStyle w:val="2"/>
        <w:tabs>
          <w:tab w:val="left" w:pos="5520"/>
        </w:tabs>
        <w:spacing w:line="600" w:lineRule="exact"/>
        <w:ind w:right="18" w:firstLine="551" w:firstLineChars="196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三、房地产开发</w:t>
      </w:r>
    </w:p>
    <w:p>
      <w:pPr>
        <w:pStyle w:val="2"/>
        <w:tabs>
          <w:tab w:val="left" w:pos="5520"/>
        </w:tabs>
        <w:spacing w:line="600" w:lineRule="exact"/>
        <w:ind w:right="18" w:firstLine="548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1—4月，全区房地产开发投资比上年同期增长12.5%。其中，住宅投资增长29.5%。</w:t>
      </w:r>
    </w:p>
    <w:p>
      <w:pPr>
        <w:pStyle w:val="2"/>
        <w:tabs>
          <w:tab w:val="left" w:pos="5520"/>
        </w:tabs>
        <w:spacing w:line="600" w:lineRule="exact"/>
        <w:ind w:right="18" w:firstLine="548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1—4月，全区房屋施工面积1021万平方米，比上年同期下降7.5%。其中，住宅施工面积564.5万平方米，下降6.5%。全区房屋新开工面积7.2万平方米，下降72.5%。</w:t>
      </w:r>
    </w:p>
    <w:p>
      <w:pPr>
        <w:pStyle w:val="2"/>
        <w:tabs>
          <w:tab w:val="left" w:pos="5520"/>
        </w:tabs>
        <w:spacing w:line="600" w:lineRule="exact"/>
        <w:ind w:right="18" w:firstLine="548" w:firstLineChars="196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1—4月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全区</w:t>
      </w:r>
      <w:r>
        <w:rPr>
          <w:rFonts w:hint="eastAsia" w:ascii="仿宋_GB2312" w:eastAsia="仿宋_GB2312"/>
          <w:sz w:val="28"/>
          <w:szCs w:val="28"/>
        </w:rPr>
        <w:t>销售商品房29.9万平方米，比上年同期增长2.1%，其中住宅16.7万平方米，增长15.2%。</w:t>
      </w:r>
    </w:p>
    <w:p>
      <w:pPr>
        <w:tabs>
          <w:tab w:val="left" w:pos="5760"/>
        </w:tabs>
        <w:spacing w:line="600" w:lineRule="exact"/>
        <w:ind w:right="-15" w:firstLine="63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四、消费品市场</w:t>
      </w:r>
    </w:p>
    <w:p>
      <w:pPr>
        <w:tabs>
          <w:tab w:val="left" w:pos="5760"/>
        </w:tabs>
        <w:spacing w:line="600" w:lineRule="exact"/>
        <w:ind w:right="-15" w:firstLine="63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1—4月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全区实现社会消费品零售总额281.8亿元，比上年同期下降5.5%。其中，</w:t>
      </w:r>
      <w:r>
        <w:rPr>
          <w:rFonts w:hint="eastAsia" w:ascii="仿宋_GB2312" w:hAnsi="仿宋_GB2312" w:eastAsia="仿宋_GB2312" w:cs="仿宋_GB2312"/>
          <w:sz w:val="28"/>
          <w:szCs w:val="28"/>
        </w:rPr>
        <w:t>限额以上批发零售业和住宿餐饮业</w:t>
      </w:r>
      <w:r>
        <w:rPr>
          <w:rFonts w:hint="eastAsia" w:ascii="仿宋_GB2312" w:eastAsia="仿宋_GB2312"/>
          <w:sz w:val="28"/>
          <w:szCs w:val="28"/>
        </w:rPr>
        <w:t>实现网上零售额45.2亿元，下降0.4%。按消费形态分，商品零售242.6亿元，比上年同期下降4.7%；餐饮收入39.2亿元，下降10%。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2F"/>
    <w:rsid w:val="000448E4"/>
    <w:rsid w:val="000521A8"/>
    <w:rsid w:val="000D0047"/>
    <w:rsid w:val="001731E0"/>
    <w:rsid w:val="0023771A"/>
    <w:rsid w:val="00257473"/>
    <w:rsid w:val="002853B2"/>
    <w:rsid w:val="0029302D"/>
    <w:rsid w:val="002C79A3"/>
    <w:rsid w:val="00321F5C"/>
    <w:rsid w:val="00333DFA"/>
    <w:rsid w:val="004140BE"/>
    <w:rsid w:val="00414C41"/>
    <w:rsid w:val="00493EE2"/>
    <w:rsid w:val="004B597F"/>
    <w:rsid w:val="004B7159"/>
    <w:rsid w:val="004C54D7"/>
    <w:rsid w:val="004D5378"/>
    <w:rsid w:val="006704A1"/>
    <w:rsid w:val="0068132F"/>
    <w:rsid w:val="006D2A69"/>
    <w:rsid w:val="00885BE8"/>
    <w:rsid w:val="00885F1B"/>
    <w:rsid w:val="008A07BB"/>
    <w:rsid w:val="0091256F"/>
    <w:rsid w:val="00951BA1"/>
    <w:rsid w:val="009573FF"/>
    <w:rsid w:val="00A22209"/>
    <w:rsid w:val="00A4221F"/>
    <w:rsid w:val="00A45C22"/>
    <w:rsid w:val="00A536FB"/>
    <w:rsid w:val="00A555EF"/>
    <w:rsid w:val="00AB3F9B"/>
    <w:rsid w:val="00AC0D5F"/>
    <w:rsid w:val="00AE2788"/>
    <w:rsid w:val="00AF0B1C"/>
    <w:rsid w:val="00B51D5C"/>
    <w:rsid w:val="00B72EC0"/>
    <w:rsid w:val="00CD1796"/>
    <w:rsid w:val="00D03AEC"/>
    <w:rsid w:val="00D04A62"/>
    <w:rsid w:val="00D3176F"/>
    <w:rsid w:val="00D31CDC"/>
    <w:rsid w:val="00D613D1"/>
    <w:rsid w:val="00D6654B"/>
    <w:rsid w:val="00D87E0D"/>
    <w:rsid w:val="00DF2AD9"/>
    <w:rsid w:val="00E34140"/>
    <w:rsid w:val="00EC7CD4"/>
    <w:rsid w:val="00EF3141"/>
    <w:rsid w:val="00EF4F17"/>
    <w:rsid w:val="00F12723"/>
    <w:rsid w:val="00FC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basedOn w:val="6"/>
    <w:link w:val="2"/>
    <w:qFormat/>
    <w:uiPriority w:val="0"/>
    <w:rPr>
      <w:rFonts w:ascii="宋体" w:hAnsi="Courier New" w:eastAsia="宋体" w:cs="Times New Roman"/>
      <w:szCs w:val="20"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106</Words>
  <Characters>609</Characters>
  <Lines>5</Lines>
  <Paragraphs>1</Paragraphs>
  <TotalTime>126</TotalTime>
  <ScaleCrop>false</ScaleCrop>
  <LinksUpToDate>false</LinksUpToDate>
  <CharactersWithSpaces>714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2024-05-21T03:54:00Z</dcterms:created>
  <dc:creator>hp</dc:creator>
  <cp:lastModifiedBy>信息员</cp:lastModifiedBy>
  <dcterms:modified xsi:type="dcterms:W3CDTF">2025-05-23T08:09:53Z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