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60" w:lineRule="exact"/>
        <w:ind w:left="883" w:hanging="880" w:hangingChars="20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关于丰台区2022年度区级部门预算执行和决算草案审计结果公告的解读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根据《北京市审计条例》相关规定，以及区人大常委会对《关于丰台区20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年度本级预算执行和其他财政收支情况的审计工作报告》审议意见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，按照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政务信息公开工作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北京市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丰台区审计局于202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月向社会公告了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丰台区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2022年度区级部门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预算执行和决算草案情况审计结果。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为全面客观反映审计结果，采用综合性审计公告的形式对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100家区级一级预算单位数据审计和3家一级预算单位及1家二级预算单位现场审计结果进行了公告。审计结果公告后附审计查出问题清单，列明具体问题情况。2022年度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区级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预算执行和决算草案情况审计工作及结果公告主要有以下特点：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突出政治引领，坚持和加强党中央对审计工作的集中统一领导。始终把党中央要求贯穿审计监督全过程，精准聚焦党委政府中心工作，加强对重点政策、资金、项目的监督，依法全面履行审计监督职责，以强有力的审计监督保障执行、促进发展，推动各项政策措施有效落实，提高财政资金使用绩效，防范化解风险隐患，确保国有资产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Style w:val="15"/>
          <w:rFonts w:hint="eastAsia" w:ascii="仿宋_GB2312" w:hAnsi="仿宋_GB2312" w:eastAsia="仿宋_GB2312" w:cs="仿宋_GB2312"/>
          <w:b w:val="0"/>
          <w:spacing w:val="8"/>
          <w:sz w:val="32"/>
          <w:szCs w:val="32"/>
          <w:highlight w:val="none"/>
          <w:shd w:val="clear" w:color="auto" w:fill="FFFFFF"/>
        </w:rPr>
        <w:t>坚持聚焦主责主业，围绕全面实施预算绩效管理和人大预算审查监督工作要求，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bidi="ar"/>
        </w:rPr>
        <w:t>同时，紧扣丰台区“十四五”发展规划确定的目标和重点任务，围绕丰台区重点功能区建设及教育事业的发展，对丰台园管委会、南中轴地区建设办等3个重点部门及1个重点二级预算单位预算执行和决算草案开展现场审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 w:bidi="ar"/>
        </w:rPr>
        <w:t>，重点关注了预决算编制执行情况、过“紧日子”要求落实情况和财政资金使用绩效情况等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 w:bidi="ar"/>
        </w:rPr>
        <w:t>三是坚持科技强审，持续推进审计全覆盖，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bidi="ar"/>
        </w:rPr>
        <w:t>利用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 w:bidi="ar"/>
        </w:rPr>
        <w:t>集中分析、分散核查的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bidi="ar"/>
        </w:rPr>
        <w:t>大数据审计工作模式，对全区100家一级预算单位的决算、项目支出等25个方面进行了数据分析审计。2022年，一级预算单位</w:t>
      </w:r>
      <w:r>
        <w:rPr>
          <w:rStyle w:val="16"/>
          <w:rFonts w:hint="eastAsia" w:ascii="仿宋_GB2312" w:hAnsi="仿宋_GB2312" w:cs="仿宋_GB2312"/>
          <w:sz w:val="32"/>
          <w:szCs w:val="32"/>
          <w:highlight w:val="none"/>
        </w:rPr>
        <w:footnoteReference w:id="0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bidi="ar"/>
        </w:rPr>
        <w:t>本年收入预算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 w:bidi="ar"/>
        </w:rPr>
        <w:t>合计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bidi="ar"/>
        </w:rPr>
        <w:t>121.13亿元，本年决算收入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 w:bidi="ar"/>
        </w:rPr>
        <w:t>合计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bidi="ar"/>
        </w:rPr>
        <w:t>973.25亿元</w:t>
      </w:r>
      <w:r>
        <w:rPr>
          <w:rStyle w:val="16"/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bidi="ar"/>
        </w:rPr>
        <w:footnoteReference w:id="1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bidi="ar"/>
        </w:rPr>
        <w:t>，本年决算支出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 w:bidi="ar"/>
        </w:rPr>
        <w:t>合计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bidi="ar"/>
        </w:rPr>
        <w:t>986.05亿元。审计结果表明，各单位202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bidi="ar"/>
        </w:rPr>
        <w:t>年度预算编制执行和决算工作基本能够遵守预算法及相关法律法规，预算管理水平不断提高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四是深化结果运用，做实审计监督“下半篇文章”。本次预算执行审计客观、全面地反映了区级部门2022年预算执行和决算草案审计中存在的问题，对问题产生原因进行了全面分析，着重揭示了财政预算和绩效管理中存在的突出问题和风险隐患，提出有针对性的审计建议。下一步，区审计局将按照整改工作部署，督促各单位严格落实审计整改主体责任，严格执行对问题整改情况的跟踪检查，对账销号。</w:t>
      </w:r>
    </w:p>
    <w:p>
      <w:pPr>
        <w:pStyle w:val="8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2"/>
      </w:pPr>
      <w:r>
        <w:rPr>
          <w:rStyle w:val="16"/>
        </w:rPr>
        <w:footnoteRef/>
      </w:r>
      <w:r>
        <w:t xml:space="preserve"> </w:t>
      </w:r>
      <w:r>
        <w:rPr>
          <w:rFonts w:hint="eastAsia"/>
          <w:lang w:eastAsia="zh-CN"/>
        </w:rPr>
        <w:t>此处指</w:t>
      </w:r>
      <w:r>
        <w:rPr>
          <w:rFonts w:hint="eastAsia"/>
          <w:lang w:val="en-US" w:eastAsia="zh-CN"/>
        </w:rPr>
        <w:t>99家预算单位，</w:t>
      </w:r>
      <w:r>
        <w:rPr>
          <w:rFonts w:hint="eastAsia"/>
        </w:rPr>
        <w:t>不含丰台区消防救援支队，消防救援支队2022年度不进行区级决算及资产年报</w:t>
      </w:r>
    </w:p>
  </w:footnote>
  <w:footnote w:id="1">
    <w:p>
      <w:pPr>
        <w:pStyle w:val="2"/>
        <w:snapToGrid w:val="0"/>
      </w:pPr>
      <w:bookmarkStart w:id="0" w:name="_GoBack"/>
      <w:r>
        <w:rPr>
          <w:rStyle w:val="16"/>
        </w:rPr>
        <w:footnoteRef/>
      </w:r>
      <w:r>
        <w:t xml:space="preserve"> </w:t>
      </w:r>
      <w:r>
        <w:rPr>
          <w:rFonts w:hint="eastAsia"/>
        </w:rPr>
        <w:t>决算收入增幅较大主要为</w:t>
      </w:r>
      <w:r>
        <w:rPr>
          <w:rFonts w:hint="eastAsia"/>
          <w:lang w:eastAsia="zh-CN"/>
        </w:rPr>
        <w:t>棚户区改造、</w:t>
      </w:r>
      <w:r>
        <w:rPr>
          <w:rFonts w:hint="eastAsia"/>
        </w:rPr>
        <w:t>土地</w:t>
      </w:r>
      <w:r>
        <w:rPr>
          <w:rFonts w:hint="eastAsia"/>
          <w:lang w:eastAsia="zh-CN"/>
        </w:rPr>
        <w:t>一级</w:t>
      </w:r>
      <w:r>
        <w:rPr>
          <w:rFonts w:hint="eastAsia"/>
        </w:rPr>
        <w:t>开发</w:t>
      </w:r>
      <w:r>
        <w:rPr>
          <w:rFonts w:hint="eastAsia"/>
          <w:lang w:eastAsia="zh-CN"/>
        </w:rPr>
        <w:t>等</w:t>
      </w:r>
      <w:r>
        <w:rPr>
          <w:rFonts w:hint="eastAsia"/>
        </w:rPr>
        <w:t>项目资金投入</w:t>
      </w:r>
    </w:p>
    <w:bookmarkEnd w:id="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0AF"/>
    <w:rsid w:val="000128B6"/>
    <w:rsid w:val="000563A0"/>
    <w:rsid w:val="00084683"/>
    <w:rsid w:val="000B03E2"/>
    <w:rsid w:val="00130305"/>
    <w:rsid w:val="0015281C"/>
    <w:rsid w:val="00180581"/>
    <w:rsid w:val="001C7D0A"/>
    <w:rsid w:val="00340C52"/>
    <w:rsid w:val="00375FD8"/>
    <w:rsid w:val="003D237A"/>
    <w:rsid w:val="004337ED"/>
    <w:rsid w:val="004A03C9"/>
    <w:rsid w:val="004C0C4C"/>
    <w:rsid w:val="004C27F3"/>
    <w:rsid w:val="004E5E26"/>
    <w:rsid w:val="00513711"/>
    <w:rsid w:val="00524131"/>
    <w:rsid w:val="00541BEF"/>
    <w:rsid w:val="00587990"/>
    <w:rsid w:val="005A34A9"/>
    <w:rsid w:val="00611EF9"/>
    <w:rsid w:val="006739D5"/>
    <w:rsid w:val="006F519E"/>
    <w:rsid w:val="007369D9"/>
    <w:rsid w:val="0076250B"/>
    <w:rsid w:val="00795EB6"/>
    <w:rsid w:val="007E72CC"/>
    <w:rsid w:val="00884A93"/>
    <w:rsid w:val="008F1ECA"/>
    <w:rsid w:val="00916B5C"/>
    <w:rsid w:val="0096199D"/>
    <w:rsid w:val="00992D46"/>
    <w:rsid w:val="009B40AF"/>
    <w:rsid w:val="009C18C6"/>
    <w:rsid w:val="009E4ED2"/>
    <w:rsid w:val="009F4C62"/>
    <w:rsid w:val="00AF1E13"/>
    <w:rsid w:val="00BD4E83"/>
    <w:rsid w:val="00BE2F41"/>
    <w:rsid w:val="00C21E02"/>
    <w:rsid w:val="00C82333"/>
    <w:rsid w:val="00CB0328"/>
    <w:rsid w:val="00D125CD"/>
    <w:rsid w:val="00D17CC4"/>
    <w:rsid w:val="00D847E5"/>
    <w:rsid w:val="00E41316"/>
    <w:rsid w:val="00E97763"/>
    <w:rsid w:val="00EB2630"/>
    <w:rsid w:val="00F144B9"/>
    <w:rsid w:val="00F4512A"/>
    <w:rsid w:val="00FF78AC"/>
    <w:rsid w:val="01254BE3"/>
    <w:rsid w:val="039950CE"/>
    <w:rsid w:val="05061E64"/>
    <w:rsid w:val="050B0D90"/>
    <w:rsid w:val="07195C92"/>
    <w:rsid w:val="072F3EE6"/>
    <w:rsid w:val="09232ED3"/>
    <w:rsid w:val="0B1115FB"/>
    <w:rsid w:val="0E515A24"/>
    <w:rsid w:val="0F9C3F92"/>
    <w:rsid w:val="14FF2591"/>
    <w:rsid w:val="152E2914"/>
    <w:rsid w:val="1693751D"/>
    <w:rsid w:val="16DE3920"/>
    <w:rsid w:val="16EA0D54"/>
    <w:rsid w:val="1AD95975"/>
    <w:rsid w:val="1C1C7090"/>
    <w:rsid w:val="1C64642F"/>
    <w:rsid w:val="1CB4177D"/>
    <w:rsid w:val="1CD36311"/>
    <w:rsid w:val="1D98425B"/>
    <w:rsid w:val="20FB75F0"/>
    <w:rsid w:val="21743229"/>
    <w:rsid w:val="229852A2"/>
    <w:rsid w:val="234967E5"/>
    <w:rsid w:val="25CB10A2"/>
    <w:rsid w:val="266447F5"/>
    <w:rsid w:val="273766C1"/>
    <w:rsid w:val="27381592"/>
    <w:rsid w:val="291C79C5"/>
    <w:rsid w:val="2A392ECA"/>
    <w:rsid w:val="2A9B1C66"/>
    <w:rsid w:val="2AFC127B"/>
    <w:rsid w:val="2B9E02DC"/>
    <w:rsid w:val="2C6B7A0D"/>
    <w:rsid w:val="3001490A"/>
    <w:rsid w:val="32BD0691"/>
    <w:rsid w:val="35337ECB"/>
    <w:rsid w:val="36FA2317"/>
    <w:rsid w:val="38BA27E6"/>
    <w:rsid w:val="39917744"/>
    <w:rsid w:val="3A7574DA"/>
    <w:rsid w:val="3B63196B"/>
    <w:rsid w:val="3C0220BC"/>
    <w:rsid w:val="3D4B5697"/>
    <w:rsid w:val="3E7C70EE"/>
    <w:rsid w:val="407932D4"/>
    <w:rsid w:val="40801FA4"/>
    <w:rsid w:val="41071872"/>
    <w:rsid w:val="412812AC"/>
    <w:rsid w:val="41AF34F8"/>
    <w:rsid w:val="420607E3"/>
    <w:rsid w:val="42450EB8"/>
    <w:rsid w:val="43FC47A8"/>
    <w:rsid w:val="44762BAC"/>
    <w:rsid w:val="4517262D"/>
    <w:rsid w:val="474C013A"/>
    <w:rsid w:val="48CF5B1B"/>
    <w:rsid w:val="4A9D3CAF"/>
    <w:rsid w:val="4B9E26DC"/>
    <w:rsid w:val="4BBC4DC3"/>
    <w:rsid w:val="4BE95365"/>
    <w:rsid w:val="4C200482"/>
    <w:rsid w:val="4C710BA7"/>
    <w:rsid w:val="4D0E5EE1"/>
    <w:rsid w:val="4D4271B4"/>
    <w:rsid w:val="50CD4DAE"/>
    <w:rsid w:val="53682A5B"/>
    <w:rsid w:val="54860725"/>
    <w:rsid w:val="54E15583"/>
    <w:rsid w:val="55135CA2"/>
    <w:rsid w:val="56293C46"/>
    <w:rsid w:val="5646331E"/>
    <w:rsid w:val="56C25D2C"/>
    <w:rsid w:val="56C34D12"/>
    <w:rsid w:val="57B2718B"/>
    <w:rsid w:val="58142442"/>
    <w:rsid w:val="5BB127C8"/>
    <w:rsid w:val="5D3D305D"/>
    <w:rsid w:val="5DBA29AE"/>
    <w:rsid w:val="5FFD3E22"/>
    <w:rsid w:val="61A9055F"/>
    <w:rsid w:val="62EB2437"/>
    <w:rsid w:val="633C04D8"/>
    <w:rsid w:val="63B458F6"/>
    <w:rsid w:val="67F15A47"/>
    <w:rsid w:val="687E2F17"/>
    <w:rsid w:val="689E1A49"/>
    <w:rsid w:val="68C377E1"/>
    <w:rsid w:val="6A0C5912"/>
    <w:rsid w:val="6C0B71A8"/>
    <w:rsid w:val="6C141B82"/>
    <w:rsid w:val="6C37306C"/>
    <w:rsid w:val="6CAA4B4E"/>
    <w:rsid w:val="6CE337C0"/>
    <w:rsid w:val="6D20320D"/>
    <w:rsid w:val="6DF56D92"/>
    <w:rsid w:val="6EDB4EE6"/>
    <w:rsid w:val="6FDA3BCB"/>
    <w:rsid w:val="6FFB5B4D"/>
    <w:rsid w:val="70171351"/>
    <w:rsid w:val="70813405"/>
    <w:rsid w:val="7359698A"/>
    <w:rsid w:val="73B43556"/>
    <w:rsid w:val="73E74E42"/>
    <w:rsid w:val="74AE132E"/>
    <w:rsid w:val="75E479B6"/>
    <w:rsid w:val="75F712FC"/>
    <w:rsid w:val="78910CBF"/>
    <w:rsid w:val="78915DF7"/>
    <w:rsid w:val="78E11175"/>
    <w:rsid w:val="7B0A6A45"/>
    <w:rsid w:val="7CB2106F"/>
    <w:rsid w:val="7E132ECA"/>
    <w:rsid w:val="7E6D77D8"/>
    <w:rsid w:val="7FBC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6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3"/>
    <w:qFormat/>
    <w:uiPriority w:val="0"/>
    <w:pPr>
      <w:ind w:firstLine="540"/>
    </w:pPr>
    <w:rPr>
      <w:sz w:val="30"/>
    </w:rPr>
  </w:style>
  <w:style w:type="paragraph" w:styleId="8">
    <w:name w:val="Body Text"/>
    <w:basedOn w:val="1"/>
    <w:next w:val="1"/>
    <w:qFormat/>
    <w:uiPriority w:val="0"/>
    <w:rPr>
      <w:sz w:val="30"/>
    </w:rPr>
  </w:style>
  <w:style w:type="paragraph" w:styleId="9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footnote reference"/>
    <w:basedOn w:val="14"/>
    <w:qFormat/>
    <w:uiPriority w:val="0"/>
    <w:rPr>
      <w:vertAlign w:val="superscript"/>
    </w:rPr>
  </w:style>
  <w:style w:type="character" w:customStyle="1" w:styleId="17">
    <w:name w:val="标题 1 Char"/>
    <w:link w:val="5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批注框文本 Char"/>
    <w:link w:val="9"/>
    <w:semiHidden/>
    <w:qFormat/>
    <w:uiPriority w:val="99"/>
    <w:rPr>
      <w:sz w:val="18"/>
      <w:szCs w:val="18"/>
    </w:rPr>
  </w:style>
  <w:style w:type="character" w:customStyle="1" w:styleId="19">
    <w:name w:val="页眉 Char"/>
    <w:link w:val="11"/>
    <w:qFormat/>
    <w:uiPriority w:val="99"/>
    <w:rPr>
      <w:kern w:val="2"/>
      <w:sz w:val="18"/>
      <w:szCs w:val="18"/>
    </w:rPr>
  </w:style>
  <w:style w:type="character" w:customStyle="1" w:styleId="20">
    <w:name w:val="页脚 Char"/>
    <w:link w:val="10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645</Characters>
  <Lines>5</Lines>
  <Paragraphs>1</Paragraphs>
  <TotalTime>5</TotalTime>
  <ScaleCrop>false</ScaleCrop>
  <LinksUpToDate>false</LinksUpToDate>
  <CharactersWithSpaces>756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2020-09-29T08:34:00Z</dcterms:created>
  <dc:creator>王赟</dc:creator>
  <cp:lastModifiedBy>NTKO</cp:lastModifiedBy>
  <dcterms:modified xsi:type="dcterms:W3CDTF">2023-11-28T02:00:35Z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